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05" w:rsidRPr="003A0505" w:rsidRDefault="003A0505" w:rsidP="003A0505">
      <w:pPr>
        <w:widowControl/>
        <w:shd w:val="clear" w:color="auto" w:fill="FFFFFF"/>
        <w:spacing w:line="750" w:lineRule="atLeast"/>
        <w:jc w:val="center"/>
        <w:rPr>
          <w:rFonts w:ascii="微软雅黑" w:eastAsia="微软雅黑" w:hAnsi="微软雅黑" w:cs="宋体"/>
          <w:color w:val="054A79"/>
          <w:kern w:val="0"/>
          <w:sz w:val="27"/>
          <w:szCs w:val="27"/>
        </w:rPr>
      </w:pPr>
      <w:bookmarkStart w:id="0" w:name="_GoBack"/>
      <w:r w:rsidRPr="003A0505">
        <w:rPr>
          <w:rFonts w:ascii="微软雅黑" w:eastAsia="微软雅黑" w:hAnsi="微软雅黑" w:cs="宋体" w:hint="eastAsia"/>
          <w:color w:val="054A79"/>
          <w:kern w:val="0"/>
          <w:sz w:val="27"/>
          <w:szCs w:val="27"/>
        </w:rPr>
        <w:t>国家认监委关于进一步明确检验检测机构资质认定工作有关问题的通知</w:t>
      </w:r>
    </w:p>
    <w:bookmarkEnd w:id="0"/>
    <w:p w:rsidR="003A0505" w:rsidRPr="003A0505" w:rsidRDefault="003A0505" w:rsidP="003A0505">
      <w:pPr>
        <w:widowControl/>
        <w:shd w:val="clear" w:color="auto" w:fill="FFFFFF"/>
        <w:spacing w:line="600" w:lineRule="atLeast"/>
        <w:jc w:val="center"/>
        <w:rPr>
          <w:rFonts w:ascii="微软雅黑" w:eastAsia="微软雅黑" w:hAnsi="微软雅黑" w:cs="宋体" w:hint="eastAsia"/>
          <w:color w:val="0B3379"/>
          <w:kern w:val="0"/>
          <w:sz w:val="18"/>
          <w:szCs w:val="18"/>
        </w:rPr>
      </w:pPr>
      <w:r w:rsidRPr="003A0505">
        <w:rPr>
          <w:rFonts w:ascii="微软雅黑" w:eastAsia="微软雅黑" w:hAnsi="微软雅黑" w:cs="宋体" w:hint="eastAsia"/>
          <w:color w:val="0B3379"/>
          <w:kern w:val="0"/>
          <w:sz w:val="18"/>
          <w:szCs w:val="18"/>
        </w:rPr>
        <w:t>时间：2017-01-17　　来源：国家认监委</w:t>
      </w:r>
    </w:p>
    <w:p w:rsidR="003A0505" w:rsidRPr="003A0505" w:rsidRDefault="003A0505" w:rsidP="003A0505">
      <w:pPr>
        <w:widowControl/>
        <w:shd w:val="clear" w:color="auto" w:fill="FFFFFF"/>
        <w:ind w:firstLine="360"/>
        <w:jc w:val="left"/>
        <w:rPr>
          <w:rFonts w:ascii="微软雅黑" w:eastAsia="微软雅黑" w:hAnsi="微软雅黑" w:cs="宋体" w:hint="eastAsia"/>
          <w:vanish/>
          <w:kern w:val="0"/>
          <w:sz w:val="18"/>
          <w:szCs w:val="18"/>
        </w:rPr>
      </w:pPr>
      <w:r w:rsidRPr="003A0505">
        <w:rPr>
          <w:rFonts w:ascii="微软雅黑" w:eastAsia="微软雅黑" w:hAnsi="微软雅黑" w:cs="宋体" w:hint="eastAsia"/>
          <w:vanish/>
          <w:kern w:val="0"/>
          <w:sz w:val="18"/>
          <w:szCs w:val="18"/>
        </w:rPr>
        <w:t>摘要：</w:t>
      </w:r>
    </w:p>
    <w:p w:rsidR="003A0505" w:rsidRPr="003A0505" w:rsidRDefault="003A0505" w:rsidP="003A0505">
      <w:pPr>
        <w:widowControl/>
        <w:shd w:val="clear" w:color="auto" w:fill="FFFFFF"/>
        <w:wordWrap w:val="0"/>
        <w:spacing w:line="600" w:lineRule="atLeast"/>
        <w:jc w:val="center"/>
        <w:rPr>
          <w:rFonts w:ascii="宋体" w:eastAsia="宋体" w:hAnsi="宋体" w:cs="宋体" w:hint="eastAsia"/>
          <w:kern w:val="0"/>
          <w:sz w:val="23"/>
          <w:szCs w:val="23"/>
        </w:rPr>
      </w:pPr>
      <w:proofErr w:type="gramStart"/>
      <w:r w:rsidRPr="003A0505">
        <w:rPr>
          <w:rFonts w:ascii="方正仿宋简体" w:eastAsia="方正仿宋简体" w:hAnsi="宋体" w:cs="宋体" w:hint="eastAsia"/>
          <w:kern w:val="0"/>
          <w:sz w:val="32"/>
          <w:szCs w:val="32"/>
        </w:rPr>
        <w:t>国认实</w:t>
      </w:r>
      <w:proofErr w:type="gramEnd"/>
      <w:r w:rsidRPr="003A0505">
        <w:rPr>
          <w:rFonts w:ascii="方正仿宋简体" w:eastAsia="方正仿宋简体" w:hAnsi="宋体" w:cs="宋体" w:hint="eastAsia"/>
          <w:kern w:val="0"/>
          <w:sz w:val="32"/>
          <w:szCs w:val="32"/>
        </w:rPr>
        <w:t>〔2017〕2号</w:t>
      </w:r>
    </w:p>
    <w:p w:rsidR="003A0505" w:rsidRPr="003A0505" w:rsidRDefault="003A0505" w:rsidP="003A0505">
      <w:pPr>
        <w:widowControl/>
        <w:shd w:val="clear" w:color="auto" w:fill="FFFFFF"/>
        <w:wordWrap w:val="0"/>
        <w:spacing w:line="600" w:lineRule="atLeast"/>
        <w:jc w:val="left"/>
        <w:rPr>
          <w:rFonts w:ascii="宋体" w:eastAsia="宋体" w:hAnsi="宋体" w:cs="宋体"/>
          <w:kern w:val="0"/>
          <w:sz w:val="23"/>
          <w:szCs w:val="23"/>
        </w:rPr>
      </w:pPr>
      <w:r w:rsidRPr="003A0505">
        <w:rPr>
          <w:rFonts w:ascii="宋体" w:eastAsia="宋体" w:hAnsi="宋体" w:cs="宋体"/>
          <w:kern w:val="0"/>
          <w:sz w:val="32"/>
          <w:szCs w:val="32"/>
        </w:rPr>
        <w:t> </w:t>
      </w:r>
    </w:p>
    <w:p w:rsidR="003A0505" w:rsidRPr="003A0505" w:rsidRDefault="003A0505" w:rsidP="003A0505">
      <w:pPr>
        <w:widowControl/>
        <w:shd w:val="clear" w:color="auto" w:fill="FFFFFF"/>
        <w:wordWrap w:val="0"/>
        <w:spacing w:line="600" w:lineRule="atLeast"/>
        <w:jc w:val="left"/>
        <w:rPr>
          <w:rFonts w:ascii="宋体" w:eastAsia="宋体" w:hAnsi="宋体" w:cs="宋体"/>
          <w:kern w:val="0"/>
          <w:sz w:val="23"/>
          <w:szCs w:val="23"/>
        </w:rPr>
      </w:pPr>
      <w:r w:rsidRPr="003A0505">
        <w:rPr>
          <w:rFonts w:ascii="宋体" w:eastAsia="宋体" w:hAnsi="宋体" w:cs="宋体"/>
          <w:kern w:val="0"/>
          <w:sz w:val="32"/>
          <w:szCs w:val="32"/>
        </w:rPr>
        <w:t> </w:t>
      </w:r>
    </w:p>
    <w:p w:rsidR="003A0505" w:rsidRPr="003A0505" w:rsidRDefault="003A0505" w:rsidP="003A0505">
      <w:pPr>
        <w:widowControl/>
        <w:shd w:val="clear" w:color="auto" w:fill="FFFFFF"/>
        <w:wordWrap w:val="0"/>
        <w:spacing w:line="600" w:lineRule="atLeast"/>
        <w:jc w:val="left"/>
        <w:rPr>
          <w:rFonts w:ascii="宋体" w:eastAsia="宋体" w:hAnsi="宋体" w:cs="宋体"/>
          <w:kern w:val="0"/>
          <w:sz w:val="23"/>
          <w:szCs w:val="23"/>
        </w:rPr>
      </w:pPr>
      <w:r w:rsidRPr="003A0505">
        <w:rPr>
          <w:rFonts w:ascii="宋体" w:eastAsia="宋体" w:hAnsi="宋体" w:cs="宋体"/>
          <w:kern w:val="0"/>
          <w:sz w:val="32"/>
          <w:szCs w:val="32"/>
        </w:rPr>
        <w:t> </w:t>
      </w:r>
    </w:p>
    <w:p w:rsidR="003A0505" w:rsidRPr="003A0505" w:rsidRDefault="003A0505" w:rsidP="003A0505">
      <w:pPr>
        <w:widowControl/>
        <w:shd w:val="clear" w:color="auto" w:fill="FFFFFF"/>
        <w:wordWrap w:val="0"/>
        <w:overflowPunct w:val="0"/>
        <w:spacing w:line="600" w:lineRule="atLeast"/>
        <w:jc w:val="center"/>
        <w:rPr>
          <w:rFonts w:ascii="宋体" w:eastAsia="宋体" w:hAnsi="宋体" w:cs="宋体"/>
          <w:kern w:val="0"/>
          <w:sz w:val="23"/>
          <w:szCs w:val="23"/>
        </w:rPr>
      </w:pPr>
      <w:r w:rsidRPr="003A0505">
        <w:rPr>
          <w:rFonts w:ascii="方正小标宋简体" w:eastAsia="方正小标宋简体" w:hAnsi="宋体" w:cs="宋体" w:hint="eastAsia"/>
          <w:kern w:val="0"/>
          <w:sz w:val="44"/>
          <w:szCs w:val="44"/>
        </w:rPr>
        <w:t>国家认监委关于进一步明确检验检测机构</w:t>
      </w:r>
    </w:p>
    <w:p w:rsidR="003A0505" w:rsidRPr="003A0505" w:rsidRDefault="003A0505" w:rsidP="003A0505">
      <w:pPr>
        <w:widowControl/>
        <w:shd w:val="clear" w:color="auto" w:fill="FFFFFF"/>
        <w:wordWrap w:val="0"/>
        <w:overflowPunct w:val="0"/>
        <w:spacing w:line="600" w:lineRule="atLeast"/>
        <w:jc w:val="center"/>
        <w:rPr>
          <w:rFonts w:ascii="宋体" w:eastAsia="宋体" w:hAnsi="宋体" w:cs="宋体"/>
          <w:kern w:val="0"/>
          <w:sz w:val="23"/>
          <w:szCs w:val="23"/>
        </w:rPr>
      </w:pPr>
      <w:r w:rsidRPr="003A0505">
        <w:rPr>
          <w:rFonts w:ascii="方正小标宋简体" w:eastAsia="方正小标宋简体" w:hAnsi="宋体" w:cs="宋体" w:hint="eastAsia"/>
          <w:kern w:val="0"/>
          <w:sz w:val="44"/>
          <w:szCs w:val="44"/>
        </w:rPr>
        <w:t>资质认定工作有关问题的通知</w:t>
      </w:r>
    </w:p>
    <w:p w:rsidR="003A0505" w:rsidRPr="003A0505" w:rsidRDefault="003A0505" w:rsidP="003A0505">
      <w:pPr>
        <w:widowControl/>
        <w:shd w:val="clear" w:color="auto" w:fill="FFFFFF"/>
        <w:wordWrap w:val="0"/>
        <w:spacing w:line="600" w:lineRule="atLeast"/>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 </w:t>
      </w:r>
    </w:p>
    <w:p w:rsidR="003A0505" w:rsidRPr="003A0505" w:rsidRDefault="003A0505" w:rsidP="003A0505">
      <w:pPr>
        <w:widowControl/>
        <w:shd w:val="clear" w:color="auto" w:fill="FFFFFF"/>
        <w:wordWrap w:val="0"/>
        <w:spacing w:line="600" w:lineRule="atLeast"/>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各省、自治区、直辖市质量技术监督局（市场监督管理部门）：</w:t>
      </w:r>
    </w:p>
    <w:p w:rsidR="003A0505" w:rsidRPr="003A0505" w:rsidRDefault="003A0505" w:rsidP="003A0505">
      <w:pPr>
        <w:widowControl/>
        <w:shd w:val="clear" w:color="auto" w:fill="FFFFFF"/>
        <w:wordWrap w:val="0"/>
        <w:spacing w:line="600" w:lineRule="atLeast"/>
        <w:ind w:firstLine="64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为贯彻落实国务院</w:t>
      </w:r>
      <w:r w:rsidRPr="003A0505">
        <w:rPr>
          <w:rFonts w:ascii="方正仿宋简体" w:eastAsia="方正仿宋简体" w:hAnsi="宋体" w:cs="宋体" w:hint="eastAsia"/>
          <w:color w:val="000000"/>
          <w:kern w:val="0"/>
          <w:sz w:val="32"/>
          <w:szCs w:val="32"/>
        </w:rPr>
        <w:t>推进简政放权、放管结合、优化服务改革工作</w:t>
      </w:r>
      <w:r w:rsidRPr="003A0505">
        <w:rPr>
          <w:rFonts w:ascii="方正仿宋简体" w:eastAsia="方正仿宋简体" w:hAnsi="宋体" w:cs="宋体" w:hint="eastAsia"/>
          <w:kern w:val="0"/>
          <w:sz w:val="32"/>
          <w:szCs w:val="32"/>
        </w:rPr>
        <w:t>要求，深化检验检测机构资质认定行政许可制度改革，建立统一的检验检测机构资质认定制度，质检总局和国家认监委发布了《检验检测机构资质认定管理办法》、《关于实施&lt;检验检测机构资质认定管理办法&gt;的若干意见》、《关于实施&lt;检验检测机构资质认定配套工作程序和技术要求&gt;的通知》、《检验检测机构资质</w:t>
      </w:r>
      <w:r w:rsidRPr="003A0505">
        <w:rPr>
          <w:rFonts w:ascii="方正仿宋简体" w:eastAsia="方正仿宋简体" w:hAnsi="宋体" w:cs="宋体" w:hint="eastAsia"/>
          <w:spacing w:val="2"/>
          <w:kern w:val="0"/>
          <w:sz w:val="32"/>
          <w:szCs w:val="32"/>
        </w:rPr>
        <w:t>认定评审准则》等系列规范性文件。但近期在对各地的监督检查中</w:t>
      </w:r>
      <w:r w:rsidRPr="003A0505">
        <w:rPr>
          <w:rFonts w:ascii="方正仿宋简体" w:eastAsia="方正仿宋简体" w:hAnsi="宋体" w:cs="宋体" w:hint="eastAsia"/>
          <w:kern w:val="0"/>
          <w:sz w:val="32"/>
          <w:szCs w:val="32"/>
        </w:rPr>
        <w:t>发现有的地方在执行中与规范性文件要求不一致，同时也为落实国家审计署对资质认定提出的相关要求，现就检验检测机构资质认定有关工作进一步明确如下，请各地认真贯彻执行。</w:t>
      </w:r>
    </w:p>
    <w:p w:rsidR="003A0505" w:rsidRPr="003A0505" w:rsidRDefault="003A0505" w:rsidP="003A0505">
      <w:pPr>
        <w:widowControl/>
        <w:shd w:val="clear" w:color="auto" w:fill="FFFFFF"/>
        <w:wordWrap w:val="0"/>
        <w:spacing w:line="600" w:lineRule="atLeast"/>
        <w:ind w:firstLine="64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lastRenderedPageBreak/>
        <w:t>一、资质认定部门应当认真贯彻落实行政许可制度改革的要求，执行放宽主体准入条件、允许租赁设备和分包、许可非标方法等释放红利的政策措施，简化审批手续，规范审批流程</w:t>
      </w:r>
      <w:r w:rsidRPr="003A0505">
        <w:rPr>
          <w:rFonts w:ascii="方正仿宋简体" w:eastAsia="方正仿宋简体" w:hAnsi="宋体" w:cs="宋体" w:hint="eastAsia"/>
          <w:color w:val="000000"/>
          <w:kern w:val="0"/>
          <w:sz w:val="32"/>
          <w:szCs w:val="32"/>
        </w:rPr>
        <w:t>。</w:t>
      </w:r>
    </w:p>
    <w:p w:rsidR="003A0505" w:rsidRPr="003A0505" w:rsidRDefault="003A0505" w:rsidP="003A0505">
      <w:pPr>
        <w:widowControl/>
        <w:shd w:val="clear" w:color="auto" w:fill="FFFFFF"/>
        <w:wordWrap w:val="0"/>
        <w:spacing w:line="600" w:lineRule="atLeast"/>
        <w:ind w:firstLine="64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二、为规范产品标识标签的检验检测行为，降低因标识标签检验检测不规范导致的许可风险，本通知发布之日起，检验检测机构申请标识标签检验检测能力资质认定时，若检验检测机构仅对产品标识标签的完整性、规范性进行核查，不对产品的实物与标识标签内容真实性进行检验检测，应在限制范围予以说明。资质认定部门对检验检测机构提交的标识标签相关标准进行资质认定评审时，应审核检验检测机构是否具备标识标签真实性检验检测的技术能力。取得</w:t>
      </w:r>
      <w:proofErr w:type="gramStart"/>
      <w:r w:rsidRPr="003A0505">
        <w:rPr>
          <w:rFonts w:ascii="方正仿宋简体" w:eastAsia="方正仿宋简体" w:hAnsi="宋体" w:cs="宋体" w:hint="eastAsia"/>
          <w:kern w:val="0"/>
          <w:sz w:val="32"/>
          <w:szCs w:val="32"/>
        </w:rPr>
        <w:t>含限制</w:t>
      </w:r>
      <w:proofErr w:type="gramEnd"/>
      <w:r w:rsidRPr="003A0505">
        <w:rPr>
          <w:rFonts w:ascii="方正仿宋简体" w:eastAsia="方正仿宋简体" w:hAnsi="宋体" w:cs="宋体" w:hint="eastAsia"/>
          <w:kern w:val="0"/>
          <w:sz w:val="32"/>
          <w:szCs w:val="32"/>
        </w:rPr>
        <w:t>范围标识标签项目资质认定的机构，在对外出具相关检验检测报告时，应在委托合同及检验检测报告上注明标识标签检验检测结果</w:t>
      </w:r>
      <w:r w:rsidRPr="003A0505">
        <w:rPr>
          <w:rFonts w:ascii="仿宋_GB2312" w:eastAsia="仿宋_GB2312" w:hAnsi="宋体" w:cs="宋体" w:hint="eastAsia"/>
          <w:kern w:val="0"/>
          <w:sz w:val="32"/>
          <w:szCs w:val="32"/>
        </w:rPr>
        <w:t>“</w:t>
      </w:r>
      <w:r w:rsidRPr="003A0505">
        <w:rPr>
          <w:rFonts w:ascii="方正仿宋简体" w:eastAsia="方正仿宋简体" w:hAnsi="宋体" w:cs="宋体" w:hint="eastAsia"/>
          <w:kern w:val="0"/>
          <w:sz w:val="32"/>
          <w:szCs w:val="32"/>
        </w:rPr>
        <w:t>不包括内容真实性的核实</w:t>
      </w:r>
      <w:r w:rsidRPr="003A0505">
        <w:rPr>
          <w:rFonts w:ascii="仿宋_GB2312" w:eastAsia="仿宋_GB2312" w:hAnsi="宋体" w:cs="宋体" w:hint="eastAsia"/>
          <w:kern w:val="0"/>
          <w:sz w:val="32"/>
          <w:szCs w:val="32"/>
        </w:rPr>
        <w:t>”</w:t>
      </w:r>
      <w:r w:rsidRPr="003A0505">
        <w:rPr>
          <w:rFonts w:ascii="方正仿宋简体" w:eastAsia="方正仿宋简体" w:hAnsi="宋体" w:cs="宋体" w:hint="eastAsia"/>
          <w:kern w:val="0"/>
          <w:sz w:val="32"/>
          <w:szCs w:val="32"/>
        </w:rPr>
        <w:t>或类似描述。</w:t>
      </w:r>
    </w:p>
    <w:p w:rsidR="003A0505" w:rsidRPr="003A0505" w:rsidRDefault="003A0505" w:rsidP="003A0505">
      <w:pPr>
        <w:widowControl/>
        <w:shd w:val="clear" w:color="auto" w:fill="FFFFFF"/>
        <w:wordWrap w:val="0"/>
        <w:spacing w:line="600" w:lineRule="atLeast"/>
        <w:ind w:firstLine="64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三、资质认定部门在受理资质认定申请时，不得设置前置条件，国家质检中心、省级质检院所、出入境检验检疫技术机构、国家级司法鉴定机构可自愿申请实验室和检验机构认可。资质认定部门要加强信息化建设，</w:t>
      </w:r>
      <w:r w:rsidRPr="003A0505">
        <w:rPr>
          <w:rFonts w:ascii="方正仿宋简体" w:eastAsia="方正仿宋简体" w:hAnsi="宋体" w:cs="宋体" w:hint="eastAsia"/>
          <w:color w:val="000000"/>
          <w:kern w:val="0"/>
          <w:sz w:val="32"/>
          <w:szCs w:val="32"/>
        </w:rPr>
        <w:t>推行“互联网+政务服务”建设。</w:t>
      </w:r>
    </w:p>
    <w:p w:rsidR="003A0505" w:rsidRPr="003A0505" w:rsidRDefault="003A0505" w:rsidP="003A0505">
      <w:pPr>
        <w:widowControl/>
        <w:shd w:val="clear" w:color="auto" w:fill="FFFFFF"/>
        <w:wordWrap w:val="0"/>
        <w:spacing w:line="600" w:lineRule="atLeast"/>
        <w:ind w:firstLine="64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四、为便利检验检测机构办理招投标等相关事务，资质认定部门可根据实际情况为检验检测机构核发资质认定证</w:t>
      </w:r>
      <w:r w:rsidRPr="003A0505">
        <w:rPr>
          <w:rFonts w:ascii="方正仿宋简体" w:eastAsia="方正仿宋简体" w:hAnsi="宋体" w:cs="宋体" w:hint="eastAsia"/>
          <w:kern w:val="0"/>
          <w:sz w:val="32"/>
          <w:szCs w:val="32"/>
        </w:rPr>
        <w:lastRenderedPageBreak/>
        <w:t>书副本（式样见附件），资质认定证书正、副本具备同等法律效力。</w:t>
      </w:r>
    </w:p>
    <w:p w:rsidR="003A0505" w:rsidRPr="003A0505" w:rsidRDefault="003A0505" w:rsidP="003A0505">
      <w:pPr>
        <w:widowControl/>
        <w:shd w:val="clear" w:color="auto" w:fill="FFFFFF"/>
        <w:wordWrap w:val="0"/>
        <w:spacing w:line="600" w:lineRule="atLeast"/>
        <w:ind w:firstLine="640"/>
        <w:jc w:val="left"/>
        <w:rPr>
          <w:rFonts w:ascii="宋体" w:eastAsia="宋体" w:hAnsi="宋体" w:cs="宋体"/>
          <w:kern w:val="0"/>
          <w:sz w:val="23"/>
          <w:szCs w:val="23"/>
        </w:rPr>
      </w:pPr>
      <w:r w:rsidRPr="003A0505">
        <w:rPr>
          <w:rFonts w:ascii="宋体" w:eastAsia="宋体" w:hAnsi="宋体" w:cs="宋体"/>
          <w:kern w:val="0"/>
          <w:sz w:val="23"/>
          <w:szCs w:val="23"/>
        </w:rPr>
        <w:t> </w:t>
      </w:r>
    </w:p>
    <w:p w:rsidR="003A0505" w:rsidRPr="003A0505" w:rsidRDefault="003A0505" w:rsidP="003A0505">
      <w:pPr>
        <w:widowControl/>
        <w:shd w:val="clear" w:color="auto" w:fill="FFFFFF"/>
        <w:wordWrap w:val="0"/>
        <w:spacing w:line="600" w:lineRule="atLeast"/>
        <w:ind w:firstLine="64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附件：</w:t>
      </w:r>
      <w:hyperlink r:id="rId5" w:history="1">
        <w:r w:rsidRPr="003A0505">
          <w:rPr>
            <w:rFonts w:ascii="方正仿宋简体" w:eastAsia="方正仿宋简体" w:hAnsi="宋体" w:cs="宋体" w:hint="eastAsia"/>
            <w:color w:val="494949"/>
            <w:kern w:val="0"/>
            <w:sz w:val="32"/>
            <w:szCs w:val="32"/>
            <w:bdr w:val="none" w:sz="0" w:space="0" w:color="auto" w:frame="1"/>
          </w:rPr>
          <w:t>资质认定证书副本式样</w:t>
        </w:r>
      </w:hyperlink>
    </w:p>
    <w:p w:rsidR="003A0505" w:rsidRPr="003A0505" w:rsidRDefault="003A0505" w:rsidP="003A0505">
      <w:pPr>
        <w:widowControl/>
        <w:shd w:val="clear" w:color="auto" w:fill="FFFFFF"/>
        <w:wordWrap w:val="0"/>
        <w:spacing w:line="600" w:lineRule="atLeast"/>
        <w:ind w:firstLine="68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 </w:t>
      </w:r>
    </w:p>
    <w:p w:rsidR="003A0505" w:rsidRPr="003A0505" w:rsidRDefault="003A0505" w:rsidP="003A0505">
      <w:pPr>
        <w:widowControl/>
        <w:shd w:val="clear" w:color="auto" w:fill="FFFFFF"/>
        <w:wordWrap w:val="0"/>
        <w:spacing w:line="600" w:lineRule="atLeast"/>
        <w:ind w:firstLine="68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 </w:t>
      </w:r>
    </w:p>
    <w:p w:rsidR="003A0505" w:rsidRPr="003A0505" w:rsidRDefault="003A0505" w:rsidP="003A0505">
      <w:pPr>
        <w:widowControl/>
        <w:shd w:val="clear" w:color="auto" w:fill="FFFFFF"/>
        <w:wordWrap w:val="0"/>
        <w:spacing w:line="600" w:lineRule="atLeast"/>
        <w:ind w:firstLine="6771"/>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 </w:t>
      </w:r>
    </w:p>
    <w:p w:rsidR="003A0505" w:rsidRPr="003A0505" w:rsidRDefault="003A0505" w:rsidP="003A0505">
      <w:pPr>
        <w:widowControl/>
        <w:shd w:val="clear" w:color="auto" w:fill="FFFFFF"/>
        <w:wordWrap w:val="0"/>
        <w:spacing w:line="600" w:lineRule="atLeast"/>
        <w:ind w:firstLine="6771"/>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 </w:t>
      </w:r>
    </w:p>
    <w:p w:rsidR="003A0505" w:rsidRPr="003A0505" w:rsidRDefault="003A0505" w:rsidP="003A0505">
      <w:pPr>
        <w:widowControl/>
        <w:shd w:val="clear" w:color="auto" w:fill="FFFFFF"/>
        <w:wordWrap w:val="0"/>
        <w:spacing w:line="600" w:lineRule="atLeast"/>
        <w:ind w:firstLine="5850"/>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 </w:t>
      </w:r>
      <w:r w:rsidRPr="003A0505">
        <w:rPr>
          <w:rFonts w:ascii="方正仿宋简体" w:eastAsia="方正仿宋简体" w:hAnsi="宋体" w:cs="宋体" w:hint="eastAsia"/>
          <w:kern w:val="0"/>
          <w:sz w:val="32"/>
          <w:szCs w:val="32"/>
        </w:rPr>
        <w:t>国家认监委</w:t>
      </w:r>
    </w:p>
    <w:p w:rsidR="003A0505" w:rsidRPr="003A0505" w:rsidRDefault="003A0505" w:rsidP="003A0505">
      <w:pPr>
        <w:widowControl/>
        <w:shd w:val="clear" w:color="auto" w:fill="FFFFFF"/>
        <w:wordWrap w:val="0"/>
        <w:spacing w:line="600" w:lineRule="atLeast"/>
        <w:ind w:firstLine="5379"/>
        <w:jc w:val="left"/>
        <w:rPr>
          <w:rFonts w:ascii="宋体" w:eastAsia="宋体" w:hAnsi="宋体" w:cs="宋体"/>
          <w:kern w:val="0"/>
          <w:sz w:val="23"/>
          <w:szCs w:val="23"/>
        </w:rPr>
      </w:pPr>
      <w:r w:rsidRPr="003A0505">
        <w:rPr>
          <w:rFonts w:ascii="方正仿宋简体" w:eastAsia="方正仿宋简体" w:hAnsi="宋体" w:cs="宋体" w:hint="eastAsia"/>
          <w:kern w:val="0"/>
          <w:sz w:val="32"/>
          <w:szCs w:val="32"/>
        </w:rPr>
        <w:t>   </w:t>
      </w:r>
      <w:r w:rsidRPr="003A0505">
        <w:rPr>
          <w:rFonts w:ascii="方正仿宋简体" w:eastAsia="方正仿宋简体" w:hAnsi="宋体" w:cs="宋体" w:hint="eastAsia"/>
          <w:kern w:val="0"/>
          <w:sz w:val="32"/>
          <w:szCs w:val="32"/>
        </w:rPr>
        <w:t xml:space="preserve"> 2017年1月3日</w:t>
      </w:r>
    </w:p>
    <w:p w:rsidR="00744922" w:rsidRDefault="00744922"/>
    <w:sectPr w:rsidR="007449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E7"/>
    <w:rsid w:val="003216FD"/>
    <w:rsid w:val="003A0505"/>
    <w:rsid w:val="00744922"/>
    <w:rsid w:val="00AE1AE7"/>
    <w:rsid w:val="00E5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6812">
      <w:bodyDiv w:val="1"/>
      <w:marLeft w:val="0"/>
      <w:marRight w:val="0"/>
      <w:marTop w:val="0"/>
      <w:marBottom w:val="0"/>
      <w:divBdr>
        <w:top w:val="none" w:sz="0" w:space="0" w:color="auto"/>
        <w:left w:val="none" w:sz="0" w:space="0" w:color="auto"/>
        <w:bottom w:val="none" w:sz="0" w:space="0" w:color="auto"/>
        <w:right w:val="none" w:sz="0" w:space="0" w:color="auto"/>
      </w:divBdr>
      <w:divsChild>
        <w:div w:id="1171333435">
          <w:marLeft w:val="0"/>
          <w:marRight w:val="0"/>
          <w:marTop w:val="0"/>
          <w:marBottom w:val="0"/>
          <w:divBdr>
            <w:top w:val="none" w:sz="0" w:space="0" w:color="auto"/>
            <w:left w:val="none" w:sz="0" w:space="0" w:color="auto"/>
            <w:bottom w:val="none" w:sz="0" w:space="0" w:color="auto"/>
            <w:right w:val="none" w:sz="0" w:space="0" w:color="auto"/>
          </w:divBdr>
          <w:divsChild>
            <w:div w:id="1433624935">
              <w:marLeft w:val="0"/>
              <w:marRight w:val="0"/>
              <w:marTop w:val="0"/>
              <w:marBottom w:val="0"/>
              <w:divBdr>
                <w:top w:val="none" w:sz="0" w:space="0" w:color="auto"/>
                <w:left w:val="none" w:sz="0" w:space="0" w:color="auto"/>
                <w:bottom w:val="none" w:sz="0" w:space="0" w:color="auto"/>
                <w:right w:val="none" w:sz="0" w:space="0" w:color="auto"/>
              </w:divBdr>
              <w:divsChild>
                <w:div w:id="346568718">
                  <w:marLeft w:val="0"/>
                  <w:marRight w:val="0"/>
                  <w:marTop w:val="0"/>
                  <w:marBottom w:val="0"/>
                  <w:divBdr>
                    <w:top w:val="none" w:sz="0" w:space="0" w:color="auto"/>
                    <w:left w:val="none" w:sz="0" w:space="0" w:color="auto"/>
                    <w:bottom w:val="single" w:sz="6" w:space="4" w:color="E0E0E0"/>
                    <w:right w:val="none" w:sz="0" w:space="0" w:color="auto"/>
                  </w:divBdr>
                </w:div>
                <w:div w:id="154343026">
                  <w:marLeft w:val="0"/>
                  <w:marRight w:val="0"/>
                  <w:marTop w:val="225"/>
                  <w:marBottom w:val="225"/>
                  <w:divBdr>
                    <w:top w:val="none" w:sz="0" w:space="0" w:color="auto"/>
                    <w:left w:val="none" w:sz="0" w:space="0" w:color="auto"/>
                    <w:bottom w:val="none" w:sz="0" w:space="0" w:color="auto"/>
                    <w:right w:val="none" w:sz="0" w:space="0" w:color="auto"/>
                  </w:divBdr>
                </w:div>
                <w:div w:id="531039458">
                  <w:marLeft w:val="0"/>
                  <w:marRight w:val="0"/>
                  <w:marTop w:val="0"/>
                  <w:marBottom w:val="0"/>
                  <w:divBdr>
                    <w:top w:val="none" w:sz="0" w:space="0" w:color="auto"/>
                    <w:left w:val="none" w:sz="0" w:space="0" w:color="auto"/>
                    <w:bottom w:val="none" w:sz="0" w:space="0" w:color="auto"/>
                    <w:right w:val="none" w:sz="0" w:space="0" w:color="auto"/>
                  </w:divBdr>
                  <w:divsChild>
                    <w:div w:id="83383780">
                      <w:marLeft w:val="0"/>
                      <w:marRight w:val="0"/>
                      <w:marTop w:val="0"/>
                      <w:marBottom w:val="0"/>
                      <w:divBdr>
                        <w:top w:val="none" w:sz="0" w:space="0" w:color="auto"/>
                        <w:left w:val="none" w:sz="0" w:space="0" w:color="auto"/>
                        <w:bottom w:val="none" w:sz="0" w:space="0" w:color="auto"/>
                        <w:right w:val="none" w:sz="0" w:space="0" w:color="auto"/>
                      </w:divBdr>
                      <w:divsChild>
                        <w:div w:id="5430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ca.gov.cn/xxgk/gwxx/2017/201701/W02017011734321661200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946</Characters>
  <Application>Microsoft Office Word</Application>
  <DocSecurity>0</DocSecurity>
  <Lines>7</Lines>
  <Paragraphs>2</Paragraphs>
  <ScaleCrop>false</ScaleCrop>
  <Company>Hewlett-Packard Company</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dc:creator>
  <cp:lastModifiedBy>刘艳</cp:lastModifiedBy>
  <cp:revision>2</cp:revision>
  <dcterms:created xsi:type="dcterms:W3CDTF">2017-07-20T02:39:00Z</dcterms:created>
  <dcterms:modified xsi:type="dcterms:W3CDTF">2017-07-20T02:39:00Z</dcterms:modified>
</cp:coreProperties>
</file>