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7C" w:rsidRPr="009C7370" w:rsidRDefault="009C7370" w:rsidP="006C587C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9C7370">
        <w:rPr>
          <w:rFonts w:ascii="方正小标宋简体" w:eastAsia="方正小标宋简体" w:hAnsi="仿宋" w:hint="eastAsia"/>
          <w:bCs/>
          <w:sz w:val="44"/>
          <w:szCs w:val="44"/>
        </w:rPr>
        <w:t>孙承业</w:t>
      </w:r>
    </w:p>
    <w:p w:rsidR="006C587C" w:rsidRPr="00F522D8" w:rsidRDefault="006C587C" w:rsidP="006C587C">
      <w:pPr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20955</wp:posOffset>
            </wp:positionV>
            <wp:extent cx="1190625" cy="1724025"/>
            <wp:effectExtent l="19050" t="0" r="9525" b="0"/>
            <wp:wrapSquare wrapText="bothSides"/>
            <wp:docPr id="5" name="图片 2" descr="C:\Users\Administrator\Desktop\DSC_2783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SC_2783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2D8">
        <w:rPr>
          <w:rFonts w:ascii="黑体" w:eastAsia="黑体" w:hAnsi="仿宋" w:hint="eastAsia"/>
          <w:bCs/>
          <w:sz w:val="32"/>
          <w:szCs w:val="32"/>
        </w:rPr>
        <w:t>一、个人简介</w:t>
      </w:r>
    </w:p>
    <w:p w:rsidR="006C587C" w:rsidRPr="00746BEC" w:rsidRDefault="006C587C" w:rsidP="006C587C"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282693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1985年河南医科大学医学系学士毕业，1991年中国预防医学科学院硕士研究生毕业， 2003年中国疾病预防控制中心劳动卫生与职业病专业博士研究生毕业。现任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中国疾病预防控制中心职业卫生与中毒控制所副所长、研究员、</w:t>
      </w:r>
      <w:r w:rsidRPr="00282693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博士生导师。从事中毒控制、突发事件应急处理、病因研究和职业病防治等领域工作，主持或参与近百起各类中毒事件现场工作，承担或完成国家级科研课题10余项。任卫生部突发事件卫生应急专家咨询委员会委员（中毒处置组组长）、国家职业病诊断与鉴定技术指导委员会委员、卫生部疾病预防控制专家委员会委员、国家食品安全风险评估专家委员会委员、国家环境应急专家组专家、国家处置化学恐怖事件专家咨询组专家。兼中华预防医学会职业病专业委员会副主任委员、中国毒理学会中毒救治专业委员会副主任委员、中华预防医学会伤害分会常委、中华预防医学会医疗机构卫生管理分会常委等，获卫生部全国应急先进个人、公共卫生与预防医学发展贡献奖、中华预防医学会科学技术奖。</w:t>
      </w:r>
    </w:p>
    <w:p w:rsidR="006C587C" w:rsidRPr="00F522D8" w:rsidRDefault="006C587C" w:rsidP="006C587C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二、主要研究方向</w:t>
      </w:r>
    </w:p>
    <w:p w:rsidR="006C587C" w:rsidRPr="00746BEC" w:rsidRDefault="006C587C" w:rsidP="006C587C">
      <w:pPr>
        <w:ind w:firstLineChars="250" w:firstLine="70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中毒控制</w:t>
      </w:r>
      <w:r w:rsidRPr="002439D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是临床医学与预防医学相结合的一个交叉学科，通过研究中毒危害产生的原因及影响因素、临床救治、中毒信息服务、毒物鉴定检测以及中毒事件应急处理等内容，来有效控制日益复杂的毒物危害问题。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研究方向主要为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中毒控制及突发中毒事件应急处置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相关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lastRenderedPageBreak/>
        <w:t>研究，包括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中毒控制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体系建设、</w:t>
      </w:r>
      <w:r w:rsidRPr="002439D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毒物危害影响因素</w:t>
      </w:r>
      <w:r w:rsidRPr="002439DD"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研究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、</w:t>
      </w:r>
      <w:r w:rsidRPr="002439D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突发中毒事件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风险评估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中毒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事件病因学研究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、</w:t>
      </w:r>
      <w:r w:rsidRPr="002439D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中毒临床诊断</w:t>
      </w:r>
      <w:r w:rsidRPr="002439DD"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与</w:t>
      </w:r>
      <w:r w:rsidRPr="002439D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救治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关键技术、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毒物检测与鉴定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技术、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毒物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信息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数据库建立与应用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中毒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控制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效果评价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等方面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。</w:t>
      </w:r>
    </w:p>
    <w:p w:rsidR="006C587C" w:rsidRPr="00F522D8" w:rsidRDefault="006C587C" w:rsidP="006C587C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三、代表性科研项目</w:t>
      </w:r>
    </w:p>
    <w:p w:rsidR="006C587C" w:rsidRPr="00F522D8" w:rsidRDefault="006C587C" w:rsidP="006C587C">
      <w:pPr>
        <w:rPr>
          <w:rFonts w:ascii="仿宋" w:eastAsia="仿宋" w:hAnsi="仿宋"/>
          <w:bCs/>
          <w:sz w:val="32"/>
          <w:szCs w:val="32"/>
        </w:rPr>
      </w:pPr>
      <w:r w:rsidRPr="00A05719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作为课题负责人承担完成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科技部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卫生行业专项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中毒事件应急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预警、应急和控制技术研究、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突发化学中毒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事件第一现场处置关键技术研究、国家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自然基金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项目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有毒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植物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DNA条形码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研究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卫生部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公益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行业专项卫生应急准备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和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处置关键技术研究与推广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等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国家级项目课题。</w:t>
      </w:r>
    </w:p>
    <w:p w:rsidR="006C587C" w:rsidRPr="00F522D8" w:rsidRDefault="006C587C" w:rsidP="006C587C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四、代表性论文</w:t>
      </w:r>
      <w:r>
        <w:rPr>
          <w:rFonts w:ascii="黑体" w:eastAsia="黑体" w:hAnsi="仿宋" w:hint="eastAsia"/>
          <w:noProof/>
          <w:sz w:val="32"/>
          <w:szCs w:val="32"/>
        </w:rPr>
        <w:t>、成果</w:t>
      </w:r>
      <w:r w:rsidRPr="00F522D8">
        <w:rPr>
          <w:rFonts w:ascii="黑体" w:eastAsia="黑体" w:hAnsi="仿宋" w:hint="eastAsia"/>
          <w:noProof/>
          <w:sz w:val="32"/>
          <w:szCs w:val="32"/>
        </w:rPr>
        <w:t>（2011年以来）</w:t>
      </w:r>
    </w:p>
    <w:p w:rsidR="006C587C" w:rsidRPr="00EA56C4" w:rsidRDefault="006C587C" w:rsidP="006C587C">
      <w:pPr>
        <w:rPr>
          <w:rFonts w:ascii="仿宋" w:eastAsia="仿宋" w:hAnsi="仿宋" w:cs="Arial Unicode MS"/>
          <w:bCs/>
          <w:color w:val="000000" w:themeColor="text1"/>
          <w:sz w:val="24"/>
          <w:szCs w:val="24"/>
        </w:rPr>
      </w:pP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1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、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Hai-Jiao Li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,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 xml:space="preserve"> Cheng-Ye Sun.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ab/>
        <w:t>Amanita subpallidorosea, a new lethal fungus from China. Mycol Progress,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ab/>
        <w:t>2015, 14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(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6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)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: 1-11.</w:t>
      </w:r>
    </w:p>
    <w:p w:rsidR="006C587C" w:rsidRPr="00EA56C4" w:rsidRDefault="006C587C" w:rsidP="006C587C">
      <w:pPr>
        <w:rPr>
          <w:rFonts w:ascii="仿宋" w:eastAsia="仿宋" w:hAnsi="仿宋" w:cs="Arial Unicode MS"/>
          <w:bCs/>
          <w:color w:val="000000" w:themeColor="text1"/>
          <w:sz w:val="24"/>
          <w:szCs w:val="24"/>
        </w:rPr>
      </w:pP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2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、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XIE Lei, SUN Cheng Ye.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ab/>
        <w:t>Prospects and Problems for Identification of PoisonousPlants in China using DNA Barcodes. BIOMEDICAL AND ENVIRONMENTAL SCIENCES, 2014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,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 xml:space="preserve"> 27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(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10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)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:794-806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.</w:t>
      </w:r>
    </w:p>
    <w:p w:rsidR="006C587C" w:rsidRPr="00EA56C4" w:rsidRDefault="006C587C" w:rsidP="006C587C">
      <w:pPr>
        <w:rPr>
          <w:rFonts w:ascii="仿宋" w:eastAsia="仿宋" w:hAnsi="仿宋" w:cs="Arial Unicode MS"/>
          <w:bCs/>
          <w:color w:val="000000" w:themeColor="text1"/>
          <w:sz w:val="24"/>
          <w:szCs w:val="24"/>
        </w:rPr>
      </w:pP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3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、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YIN Yu, SUN Cheng Ye. Analysis of Paraquat Intoxication Epidemic (2002-2011) within China. BIOMEDICAL AND ENVIRONMENTAL SCIENCES. 2013, 26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(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6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)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:509-512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.</w:t>
      </w:r>
    </w:p>
    <w:p w:rsidR="006C587C" w:rsidRPr="00EA56C4" w:rsidRDefault="006C587C" w:rsidP="006C587C">
      <w:pPr>
        <w:rPr>
          <w:rFonts w:ascii="仿宋" w:eastAsia="仿宋" w:hAnsi="仿宋" w:cs="Arial Unicode MS"/>
          <w:bCs/>
          <w:color w:val="000000" w:themeColor="text1"/>
          <w:sz w:val="24"/>
          <w:szCs w:val="24"/>
        </w:rPr>
      </w:pP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4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>、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Zhang S</w:t>
      </w:r>
      <w:r w:rsidRPr="00EA56C4">
        <w:rPr>
          <w:rFonts w:ascii="仿宋" w:eastAsia="仿宋" w:hAnsi="仿宋" w:cs="Arial Unicode MS" w:hint="eastAsia"/>
          <w:bCs/>
          <w:color w:val="000000" w:themeColor="text1"/>
          <w:sz w:val="24"/>
          <w:szCs w:val="24"/>
        </w:rPr>
        <w:t xml:space="preserve">huo, </w:t>
      </w:r>
      <w:r w:rsidRPr="00EA56C4">
        <w:rPr>
          <w:rFonts w:ascii="仿宋" w:eastAsia="仿宋" w:hAnsi="仿宋" w:cs="Arial Unicode MS"/>
          <w:bCs/>
          <w:color w:val="000000" w:themeColor="text1"/>
          <w:sz w:val="24"/>
          <w:szCs w:val="24"/>
        </w:rPr>
        <w:t>SUN Cheng Ye .A simple and High-Throughput Analysis of amatoxins and Phalotoxins in Human Plasma Serum and Urine UPLC-MS/MS Combined with PRiME HLB Elution Platform,toxin 2016,8,128;doi:10.3390.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5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.4665例儿童急性中毒咨询病例中毒特征及毒物谱分析,中国临床医生杂志,2015,43(7):45-48.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6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.2013年不同监测系统中全国突发中毒事件分析,疾病监测,2015,30(6):489-492.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7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.毒蕈中毒病例中毒特征分析,中国医刊,2015,50(6):63-67.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8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.2009-2013 年全国网络直报急性职业中毒事件分析,中国工业医学,2015,28(1):14-17.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9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.铅稳定同位素示踪技术的研究进展,中国工业医学杂志,2014,27(4):244-247.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10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.我国儿童血铅影响因素及其评价方法的研究进展，中国工业医学杂志，2014,27(4):251-254.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11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.我国不同地域儿童血铅和尿铅稳定同位素比值比较,中国工业医学杂志,2014,27(4):255-257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12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.某铅采选企业周边儿童血铅水平及相关因素研究,中国工业医学杂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lastRenderedPageBreak/>
        <w:t>志,2014,27(4):258-260.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13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.某幼儿园儿童皮肤瘀点事件病因分析,中国公共卫生管理,2014,30(1):137-139.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4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.3114 例拟除虫菊酯类农药中毒咨询案例特征分析,职业卫生与应急救援,2013,31(5):234-237.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5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.C级防护装备在中毒事件现场的实用性能评价,中国工业医学杂志,2013,26(5):326-328.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6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.发达国家职业人群健康服务模式介绍及对中国的借鉴意义,中国工业医学杂志,2013,26(3):233-235.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7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.2009-2010 年五省 6 家医院急性中毒病例分析,中国工业医学杂志,2012,25(1):3-8.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8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.漆树叶皮肤刺激性与致敏性的实验研究,药物不良反应杂志,2011,13(3):161-164.</w:t>
      </w:r>
    </w:p>
    <w:p w:rsidR="006C587C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9</w:t>
      </w: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.中毒现场疾控应急人员 A级别防护装备实用性能评价,中国工业医学杂志,2011,24(3):168-171.</w:t>
      </w:r>
    </w:p>
    <w:p w:rsidR="006C587C" w:rsidRPr="00EA56C4" w:rsidRDefault="006C587C" w:rsidP="006C587C">
      <w:pPr>
        <w:rPr>
          <w:rFonts w:ascii="仿宋_GB2312" w:eastAsia="仿宋_GB2312"/>
          <w:b/>
          <w:color w:val="000000"/>
          <w:sz w:val="24"/>
          <w:szCs w:val="24"/>
          <w:shd w:val="clear" w:color="auto" w:fill="FFFFFF"/>
        </w:rPr>
      </w:pPr>
      <w:r w:rsidRPr="00EA56C4">
        <w:rPr>
          <w:rFonts w:ascii="仿宋_GB2312" w:eastAsia="仿宋_GB2312" w:hint="eastAsia"/>
          <w:b/>
          <w:color w:val="000000"/>
          <w:sz w:val="24"/>
          <w:szCs w:val="24"/>
          <w:shd w:val="clear" w:color="auto" w:fill="FFFFFF"/>
        </w:rPr>
        <w:t>发明专利：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授权实用新型专利：李海蛟,孙承业,谢立璟,马沛滨,龙鑫,周静.一种真菌采集烘干一体包. 专利号:ZL 2014 2 0258514.2,授权时间: 2014/11/05。</w:t>
      </w:r>
    </w:p>
    <w:p w:rsidR="006C587C" w:rsidRPr="00EA56C4" w:rsidRDefault="006C587C" w:rsidP="006C587C">
      <w:pPr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 w:rsidRPr="00EA56C4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孙承业, 谢立璟, 李海蛟. 一种大型真菌采集袋. 专利号: ZL 2014 2 0262149. 2, 授权时间: 2014/11/05</w:t>
      </w:r>
    </w:p>
    <w:p w:rsidR="006C587C" w:rsidRDefault="006C587C" w:rsidP="006C587C">
      <w:pPr>
        <w:rPr>
          <w:rFonts w:ascii="微软雅黑" w:eastAsia="微软雅黑" w:hAnsi="微软雅黑"/>
          <w:b/>
          <w:bCs/>
          <w:color w:val="336699"/>
          <w:sz w:val="30"/>
          <w:szCs w:val="30"/>
        </w:rPr>
      </w:pPr>
    </w:p>
    <w:p w:rsidR="0007333D" w:rsidRDefault="0007333D"/>
    <w:sectPr w:rsidR="0007333D" w:rsidSect="00073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7A" w:rsidRDefault="0073337A" w:rsidP="00AF3920">
      <w:r>
        <w:separator/>
      </w:r>
    </w:p>
  </w:endnote>
  <w:endnote w:type="continuationSeparator" w:id="1">
    <w:p w:rsidR="0073337A" w:rsidRDefault="0073337A" w:rsidP="00AF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7A" w:rsidRDefault="0073337A" w:rsidP="00AF3920">
      <w:r>
        <w:separator/>
      </w:r>
    </w:p>
  </w:footnote>
  <w:footnote w:type="continuationSeparator" w:id="1">
    <w:p w:rsidR="0073337A" w:rsidRDefault="0073337A" w:rsidP="00AF3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87C"/>
    <w:rsid w:val="000028BE"/>
    <w:rsid w:val="00002B22"/>
    <w:rsid w:val="000037A7"/>
    <w:rsid w:val="000037E8"/>
    <w:rsid w:val="000059C9"/>
    <w:rsid w:val="000167C3"/>
    <w:rsid w:val="000308A0"/>
    <w:rsid w:val="00031AA9"/>
    <w:rsid w:val="000431F7"/>
    <w:rsid w:val="000472B7"/>
    <w:rsid w:val="00047A59"/>
    <w:rsid w:val="000514DC"/>
    <w:rsid w:val="0005194D"/>
    <w:rsid w:val="00053F9B"/>
    <w:rsid w:val="00056104"/>
    <w:rsid w:val="000601FA"/>
    <w:rsid w:val="00063868"/>
    <w:rsid w:val="00063A58"/>
    <w:rsid w:val="00067918"/>
    <w:rsid w:val="0007333D"/>
    <w:rsid w:val="000734C9"/>
    <w:rsid w:val="000766BF"/>
    <w:rsid w:val="00080851"/>
    <w:rsid w:val="0008238A"/>
    <w:rsid w:val="00085059"/>
    <w:rsid w:val="000851B6"/>
    <w:rsid w:val="000865A3"/>
    <w:rsid w:val="0008733D"/>
    <w:rsid w:val="00090C40"/>
    <w:rsid w:val="000916B4"/>
    <w:rsid w:val="0009572D"/>
    <w:rsid w:val="000A04D1"/>
    <w:rsid w:val="000A0DAC"/>
    <w:rsid w:val="000A6E35"/>
    <w:rsid w:val="000B0258"/>
    <w:rsid w:val="000B6246"/>
    <w:rsid w:val="000B7694"/>
    <w:rsid w:val="000C09A6"/>
    <w:rsid w:val="000C0D67"/>
    <w:rsid w:val="000C5C58"/>
    <w:rsid w:val="000C6228"/>
    <w:rsid w:val="000D0EC5"/>
    <w:rsid w:val="000D7841"/>
    <w:rsid w:val="000E27FC"/>
    <w:rsid w:val="000E72C0"/>
    <w:rsid w:val="000F222E"/>
    <w:rsid w:val="000F489A"/>
    <w:rsid w:val="000F6F8B"/>
    <w:rsid w:val="000F797C"/>
    <w:rsid w:val="00102632"/>
    <w:rsid w:val="001028A0"/>
    <w:rsid w:val="00102D47"/>
    <w:rsid w:val="00113B9C"/>
    <w:rsid w:val="001170D6"/>
    <w:rsid w:val="00121C87"/>
    <w:rsid w:val="00123FB0"/>
    <w:rsid w:val="0012484F"/>
    <w:rsid w:val="001312C9"/>
    <w:rsid w:val="00133DAE"/>
    <w:rsid w:val="00140548"/>
    <w:rsid w:val="001470FB"/>
    <w:rsid w:val="0015330B"/>
    <w:rsid w:val="00163B3C"/>
    <w:rsid w:val="00163C6D"/>
    <w:rsid w:val="00170D1C"/>
    <w:rsid w:val="0017126B"/>
    <w:rsid w:val="00181F8B"/>
    <w:rsid w:val="00187F97"/>
    <w:rsid w:val="00192B06"/>
    <w:rsid w:val="0019470D"/>
    <w:rsid w:val="001A2D59"/>
    <w:rsid w:val="001B15E6"/>
    <w:rsid w:val="001B2941"/>
    <w:rsid w:val="001B3013"/>
    <w:rsid w:val="001B344F"/>
    <w:rsid w:val="001C54DA"/>
    <w:rsid w:val="001D6AF5"/>
    <w:rsid w:val="001E05CE"/>
    <w:rsid w:val="001E3B5A"/>
    <w:rsid w:val="001E54DA"/>
    <w:rsid w:val="001E6C63"/>
    <w:rsid w:val="001F0232"/>
    <w:rsid w:val="001F0C86"/>
    <w:rsid w:val="001F118E"/>
    <w:rsid w:val="001F2335"/>
    <w:rsid w:val="001F6995"/>
    <w:rsid w:val="002029BE"/>
    <w:rsid w:val="00203252"/>
    <w:rsid w:val="00214B13"/>
    <w:rsid w:val="00226E1C"/>
    <w:rsid w:val="00232084"/>
    <w:rsid w:val="002324E6"/>
    <w:rsid w:val="002353A2"/>
    <w:rsid w:val="002409EA"/>
    <w:rsid w:val="00244E07"/>
    <w:rsid w:val="00246E67"/>
    <w:rsid w:val="0024746B"/>
    <w:rsid w:val="0025541D"/>
    <w:rsid w:val="00256000"/>
    <w:rsid w:val="00257F60"/>
    <w:rsid w:val="002604FE"/>
    <w:rsid w:val="00260ED7"/>
    <w:rsid w:val="00271A31"/>
    <w:rsid w:val="00272B13"/>
    <w:rsid w:val="002827E2"/>
    <w:rsid w:val="0028299E"/>
    <w:rsid w:val="002908A3"/>
    <w:rsid w:val="00294BBB"/>
    <w:rsid w:val="00294C1A"/>
    <w:rsid w:val="002A300B"/>
    <w:rsid w:val="002B0864"/>
    <w:rsid w:val="002B24DB"/>
    <w:rsid w:val="002B27FD"/>
    <w:rsid w:val="002B598B"/>
    <w:rsid w:val="002C50D4"/>
    <w:rsid w:val="002D0DDE"/>
    <w:rsid w:val="002D1ADB"/>
    <w:rsid w:val="002D2CA4"/>
    <w:rsid w:val="002F4D19"/>
    <w:rsid w:val="002F61B7"/>
    <w:rsid w:val="002F6B9A"/>
    <w:rsid w:val="0032029A"/>
    <w:rsid w:val="00324D28"/>
    <w:rsid w:val="00334B73"/>
    <w:rsid w:val="003419B3"/>
    <w:rsid w:val="00347ECA"/>
    <w:rsid w:val="00350E58"/>
    <w:rsid w:val="00352C93"/>
    <w:rsid w:val="0035379B"/>
    <w:rsid w:val="00354886"/>
    <w:rsid w:val="003579B5"/>
    <w:rsid w:val="00357BB0"/>
    <w:rsid w:val="00363B0A"/>
    <w:rsid w:val="00371897"/>
    <w:rsid w:val="003718EF"/>
    <w:rsid w:val="003751E6"/>
    <w:rsid w:val="00383373"/>
    <w:rsid w:val="003918D9"/>
    <w:rsid w:val="0039538B"/>
    <w:rsid w:val="0039789D"/>
    <w:rsid w:val="0039799F"/>
    <w:rsid w:val="003A3712"/>
    <w:rsid w:val="003A7D87"/>
    <w:rsid w:val="003B7A1C"/>
    <w:rsid w:val="003C0856"/>
    <w:rsid w:val="003C1A5B"/>
    <w:rsid w:val="003C7471"/>
    <w:rsid w:val="003D6AAE"/>
    <w:rsid w:val="003E3D27"/>
    <w:rsid w:val="003E41AF"/>
    <w:rsid w:val="003E4AA3"/>
    <w:rsid w:val="003E4D3C"/>
    <w:rsid w:val="003E5555"/>
    <w:rsid w:val="003E7211"/>
    <w:rsid w:val="003E739B"/>
    <w:rsid w:val="003F0282"/>
    <w:rsid w:val="003F413A"/>
    <w:rsid w:val="003F4387"/>
    <w:rsid w:val="004003EA"/>
    <w:rsid w:val="00402325"/>
    <w:rsid w:val="004070E1"/>
    <w:rsid w:val="004074F9"/>
    <w:rsid w:val="00410770"/>
    <w:rsid w:val="00411D99"/>
    <w:rsid w:val="00420DA7"/>
    <w:rsid w:val="0042326C"/>
    <w:rsid w:val="00431040"/>
    <w:rsid w:val="00431667"/>
    <w:rsid w:val="00431C80"/>
    <w:rsid w:val="00433430"/>
    <w:rsid w:val="00440CB4"/>
    <w:rsid w:val="00440FB4"/>
    <w:rsid w:val="0044202C"/>
    <w:rsid w:val="00452F10"/>
    <w:rsid w:val="0045460E"/>
    <w:rsid w:val="0046078C"/>
    <w:rsid w:val="00464BC9"/>
    <w:rsid w:val="004663C0"/>
    <w:rsid w:val="00467BC4"/>
    <w:rsid w:val="0047132F"/>
    <w:rsid w:val="00471C8F"/>
    <w:rsid w:val="00473678"/>
    <w:rsid w:val="00473D4C"/>
    <w:rsid w:val="00476B08"/>
    <w:rsid w:val="00482EB8"/>
    <w:rsid w:val="0048389C"/>
    <w:rsid w:val="00486BA4"/>
    <w:rsid w:val="0048735A"/>
    <w:rsid w:val="00490DC9"/>
    <w:rsid w:val="0049666B"/>
    <w:rsid w:val="004A14AC"/>
    <w:rsid w:val="004A4B6E"/>
    <w:rsid w:val="004A6C25"/>
    <w:rsid w:val="004B08B0"/>
    <w:rsid w:val="004B0AB5"/>
    <w:rsid w:val="004B4E79"/>
    <w:rsid w:val="004B6CC8"/>
    <w:rsid w:val="004C1174"/>
    <w:rsid w:val="004C1230"/>
    <w:rsid w:val="004C239B"/>
    <w:rsid w:val="004C2F21"/>
    <w:rsid w:val="004D26A2"/>
    <w:rsid w:val="004D521D"/>
    <w:rsid w:val="004E0AEC"/>
    <w:rsid w:val="004F08E5"/>
    <w:rsid w:val="004F0C0D"/>
    <w:rsid w:val="004F5145"/>
    <w:rsid w:val="004F5BB2"/>
    <w:rsid w:val="00503821"/>
    <w:rsid w:val="00506519"/>
    <w:rsid w:val="00506E87"/>
    <w:rsid w:val="005140DC"/>
    <w:rsid w:val="0053214E"/>
    <w:rsid w:val="00537319"/>
    <w:rsid w:val="00543E84"/>
    <w:rsid w:val="0054750C"/>
    <w:rsid w:val="00556BB4"/>
    <w:rsid w:val="00564C07"/>
    <w:rsid w:val="005711F1"/>
    <w:rsid w:val="00573848"/>
    <w:rsid w:val="00573B4A"/>
    <w:rsid w:val="00574442"/>
    <w:rsid w:val="00575BF7"/>
    <w:rsid w:val="00582561"/>
    <w:rsid w:val="00583037"/>
    <w:rsid w:val="005833FD"/>
    <w:rsid w:val="00591336"/>
    <w:rsid w:val="0059227D"/>
    <w:rsid w:val="005A077C"/>
    <w:rsid w:val="005A0A93"/>
    <w:rsid w:val="005B1504"/>
    <w:rsid w:val="005B3660"/>
    <w:rsid w:val="005B36C4"/>
    <w:rsid w:val="005C1A79"/>
    <w:rsid w:val="005C1E3F"/>
    <w:rsid w:val="005C7293"/>
    <w:rsid w:val="005D0B75"/>
    <w:rsid w:val="005D0F44"/>
    <w:rsid w:val="005D57F5"/>
    <w:rsid w:val="005D5E41"/>
    <w:rsid w:val="005D66F3"/>
    <w:rsid w:val="005E2FAB"/>
    <w:rsid w:val="005E33B4"/>
    <w:rsid w:val="005F06F4"/>
    <w:rsid w:val="005F2B29"/>
    <w:rsid w:val="005F5638"/>
    <w:rsid w:val="005F7186"/>
    <w:rsid w:val="006018A7"/>
    <w:rsid w:val="00604E2C"/>
    <w:rsid w:val="0061348B"/>
    <w:rsid w:val="00614FBB"/>
    <w:rsid w:val="00615165"/>
    <w:rsid w:val="006309E9"/>
    <w:rsid w:val="00632520"/>
    <w:rsid w:val="006407B1"/>
    <w:rsid w:val="006410BA"/>
    <w:rsid w:val="00650A89"/>
    <w:rsid w:val="0065253D"/>
    <w:rsid w:val="00652A24"/>
    <w:rsid w:val="00654C78"/>
    <w:rsid w:val="0066124D"/>
    <w:rsid w:val="00667CC9"/>
    <w:rsid w:val="0067040B"/>
    <w:rsid w:val="0067275E"/>
    <w:rsid w:val="00675EAC"/>
    <w:rsid w:val="0068007D"/>
    <w:rsid w:val="006824DC"/>
    <w:rsid w:val="006827B0"/>
    <w:rsid w:val="0068496A"/>
    <w:rsid w:val="006857AD"/>
    <w:rsid w:val="006943EA"/>
    <w:rsid w:val="006A38BC"/>
    <w:rsid w:val="006A68F5"/>
    <w:rsid w:val="006B0460"/>
    <w:rsid w:val="006B3D0A"/>
    <w:rsid w:val="006C10B1"/>
    <w:rsid w:val="006C587C"/>
    <w:rsid w:val="006D333F"/>
    <w:rsid w:val="006D5F5F"/>
    <w:rsid w:val="006E23EA"/>
    <w:rsid w:val="006F1E3F"/>
    <w:rsid w:val="006F2B4E"/>
    <w:rsid w:val="006F2FA7"/>
    <w:rsid w:val="006F4049"/>
    <w:rsid w:val="006F5A0A"/>
    <w:rsid w:val="007131CD"/>
    <w:rsid w:val="007176CC"/>
    <w:rsid w:val="00717709"/>
    <w:rsid w:val="00717F62"/>
    <w:rsid w:val="0072288E"/>
    <w:rsid w:val="007266D5"/>
    <w:rsid w:val="0073178B"/>
    <w:rsid w:val="00732191"/>
    <w:rsid w:val="0073337A"/>
    <w:rsid w:val="00735FB5"/>
    <w:rsid w:val="007421D2"/>
    <w:rsid w:val="00743655"/>
    <w:rsid w:val="00751FE0"/>
    <w:rsid w:val="007536DE"/>
    <w:rsid w:val="007552C7"/>
    <w:rsid w:val="00772368"/>
    <w:rsid w:val="00772AB7"/>
    <w:rsid w:val="007759D6"/>
    <w:rsid w:val="007A47A2"/>
    <w:rsid w:val="007B07D6"/>
    <w:rsid w:val="007B19B7"/>
    <w:rsid w:val="007B3B07"/>
    <w:rsid w:val="007B5FFB"/>
    <w:rsid w:val="007B69E6"/>
    <w:rsid w:val="007C0DC0"/>
    <w:rsid w:val="007C56C1"/>
    <w:rsid w:val="007C7942"/>
    <w:rsid w:val="007D0F29"/>
    <w:rsid w:val="007D4A41"/>
    <w:rsid w:val="007D754D"/>
    <w:rsid w:val="00805967"/>
    <w:rsid w:val="00806316"/>
    <w:rsid w:val="00812EE3"/>
    <w:rsid w:val="0081640D"/>
    <w:rsid w:val="00823520"/>
    <w:rsid w:val="008237AD"/>
    <w:rsid w:val="00824EC5"/>
    <w:rsid w:val="00826DA3"/>
    <w:rsid w:val="00831C01"/>
    <w:rsid w:val="008525A5"/>
    <w:rsid w:val="00853811"/>
    <w:rsid w:val="008549DA"/>
    <w:rsid w:val="0085741E"/>
    <w:rsid w:val="00870BCA"/>
    <w:rsid w:val="00872F28"/>
    <w:rsid w:val="0087588E"/>
    <w:rsid w:val="00875897"/>
    <w:rsid w:val="00881B6A"/>
    <w:rsid w:val="00885968"/>
    <w:rsid w:val="00885A79"/>
    <w:rsid w:val="00893A6E"/>
    <w:rsid w:val="00897556"/>
    <w:rsid w:val="008A1CA4"/>
    <w:rsid w:val="008A4D56"/>
    <w:rsid w:val="008A511E"/>
    <w:rsid w:val="008A6C11"/>
    <w:rsid w:val="008B0253"/>
    <w:rsid w:val="008B069A"/>
    <w:rsid w:val="008B4008"/>
    <w:rsid w:val="008B5DB6"/>
    <w:rsid w:val="008B7875"/>
    <w:rsid w:val="008C4332"/>
    <w:rsid w:val="008C5D02"/>
    <w:rsid w:val="008C5DBE"/>
    <w:rsid w:val="008D0687"/>
    <w:rsid w:val="008D1F5F"/>
    <w:rsid w:val="008D2944"/>
    <w:rsid w:val="008D2B53"/>
    <w:rsid w:val="008D4419"/>
    <w:rsid w:val="008D6201"/>
    <w:rsid w:val="008E0886"/>
    <w:rsid w:val="008F1DB2"/>
    <w:rsid w:val="008F423B"/>
    <w:rsid w:val="008F5810"/>
    <w:rsid w:val="008F69F5"/>
    <w:rsid w:val="008F6F32"/>
    <w:rsid w:val="00901209"/>
    <w:rsid w:val="0090318B"/>
    <w:rsid w:val="00904DE3"/>
    <w:rsid w:val="00907C11"/>
    <w:rsid w:val="0091242D"/>
    <w:rsid w:val="0091787D"/>
    <w:rsid w:val="00922DF1"/>
    <w:rsid w:val="00926EF5"/>
    <w:rsid w:val="009321E6"/>
    <w:rsid w:val="00946A08"/>
    <w:rsid w:val="009555FF"/>
    <w:rsid w:val="00956A76"/>
    <w:rsid w:val="00963F15"/>
    <w:rsid w:val="009703FA"/>
    <w:rsid w:val="00970D79"/>
    <w:rsid w:val="00971A34"/>
    <w:rsid w:val="00973314"/>
    <w:rsid w:val="00973697"/>
    <w:rsid w:val="009815F9"/>
    <w:rsid w:val="00984370"/>
    <w:rsid w:val="00994B58"/>
    <w:rsid w:val="00994E65"/>
    <w:rsid w:val="00997A89"/>
    <w:rsid w:val="009C7370"/>
    <w:rsid w:val="009D1F9B"/>
    <w:rsid w:val="009D5F7D"/>
    <w:rsid w:val="009D6DA4"/>
    <w:rsid w:val="009E1521"/>
    <w:rsid w:val="009E15EB"/>
    <w:rsid w:val="009F078F"/>
    <w:rsid w:val="00A10F05"/>
    <w:rsid w:val="00A1444E"/>
    <w:rsid w:val="00A27F69"/>
    <w:rsid w:val="00A3028A"/>
    <w:rsid w:val="00A339F8"/>
    <w:rsid w:val="00A44D4B"/>
    <w:rsid w:val="00A47F63"/>
    <w:rsid w:val="00A522B7"/>
    <w:rsid w:val="00A62321"/>
    <w:rsid w:val="00A658CE"/>
    <w:rsid w:val="00A669BD"/>
    <w:rsid w:val="00A721E8"/>
    <w:rsid w:val="00A77A12"/>
    <w:rsid w:val="00A82D46"/>
    <w:rsid w:val="00A83FF9"/>
    <w:rsid w:val="00A84A77"/>
    <w:rsid w:val="00A8670C"/>
    <w:rsid w:val="00A87DBB"/>
    <w:rsid w:val="00A911D6"/>
    <w:rsid w:val="00A9436F"/>
    <w:rsid w:val="00A946BE"/>
    <w:rsid w:val="00A96D58"/>
    <w:rsid w:val="00AA3023"/>
    <w:rsid w:val="00AA6275"/>
    <w:rsid w:val="00AB2340"/>
    <w:rsid w:val="00AB3EFE"/>
    <w:rsid w:val="00AC3239"/>
    <w:rsid w:val="00AC33BD"/>
    <w:rsid w:val="00AC3CD2"/>
    <w:rsid w:val="00AD128B"/>
    <w:rsid w:val="00AD1680"/>
    <w:rsid w:val="00AD192C"/>
    <w:rsid w:val="00AD206C"/>
    <w:rsid w:val="00AD2ED2"/>
    <w:rsid w:val="00AE12F2"/>
    <w:rsid w:val="00AE1FEE"/>
    <w:rsid w:val="00AE215E"/>
    <w:rsid w:val="00AF2BA4"/>
    <w:rsid w:val="00AF3920"/>
    <w:rsid w:val="00AF67EA"/>
    <w:rsid w:val="00AF7E27"/>
    <w:rsid w:val="00B057D3"/>
    <w:rsid w:val="00B0627A"/>
    <w:rsid w:val="00B0770A"/>
    <w:rsid w:val="00B11003"/>
    <w:rsid w:val="00B117FB"/>
    <w:rsid w:val="00B160E8"/>
    <w:rsid w:val="00B31FFD"/>
    <w:rsid w:val="00B3545B"/>
    <w:rsid w:val="00B365F1"/>
    <w:rsid w:val="00B42F98"/>
    <w:rsid w:val="00B477D5"/>
    <w:rsid w:val="00B477E3"/>
    <w:rsid w:val="00B51F73"/>
    <w:rsid w:val="00B53143"/>
    <w:rsid w:val="00B63D7D"/>
    <w:rsid w:val="00B645A5"/>
    <w:rsid w:val="00B65087"/>
    <w:rsid w:val="00B6777C"/>
    <w:rsid w:val="00B74DCF"/>
    <w:rsid w:val="00B74F3A"/>
    <w:rsid w:val="00B754BC"/>
    <w:rsid w:val="00B818B4"/>
    <w:rsid w:val="00B81E32"/>
    <w:rsid w:val="00B946D5"/>
    <w:rsid w:val="00B97674"/>
    <w:rsid w:val="00BB1707"/>
    <w:rsid w:val="00BC5418"/>
    <w:rsid w:val="00BD0032"/>
    <w:rsid w:val="00BD2815"/>
    <w:rsid w:val="00BD2855"/>
    <w:rsid w:val="00BE313E"/>
    <w:rsid w:val="00BE4C69"/>
    <w:rsid w:val="00BE53CF"/>
    <w:rsid w:val="00BE7A8D"/>
    <w:rsid w:val="00BF677A"/>
    <w:rsid w:val="00BF7DA5"/>
    <w:rsid w:val="00C043EA"/>
    <w:rsid w:val="00C051A3"/>
    <w:rsid w:val="00C066F7"/>
    <w:rsid w:val="00C078B9"/>
    <w:rsid w:val="00C11970"/>
    <w:rsid w:val="00C15202"/>
    <w:rsid w:val="00C1632D"/>
    <w:rsid w:val="00C25735"/>
    <w:rsid w:val="00C3466C"/>
    <w:rsid w:val="00C36840"/>
    <w:rsid w:val="00C36B1A"/>
    <w:rsid w:val="00C37B13"/>
    <w:rsid w:val="00C45CA4"/>
    <w:rsid w:val="00C626C5"/>
    <w:rsid w:val="00C641C4"/>
    <w:rsid w:val="00C70EEE"/>
    <w:rsid w:val="00C73705"/>
    <w:rsid w:val="00C743E4"/>
    <w:rsid w:val="00C74575"/>
    <w:rsid w:val="00C774F2"/>
    <w:rsid w:val="00C81F63"/>
    <w:rsid w:val="00C86FD9"/>
    <w:rsid w:val="00C9027C"/>
    <w:rsid w:val="00C904D7"/>
    <w:rsid w:val="00C917B5"/>
    <w:rsid w:val="00C97C49"/>
    <w:rsid w:val="00CD0876"/>
    <w:rsid w:val="00CD10A8"/>
    <w:rsid w:val="00CD10E7"/>
    <w:rsid w:val="00CD19AC"/>
    <w:rsid w:val="00CD416C"/>
    <w:rsid w:val="00CE03A0"/>
    <w:rsid w:val="00CE1AFB"/>
    <w:rsid w:val="00CE1E35"/>
    <w:rsid w:val="00CE4EAB"/>
    <w:rsid w:val="00CF2040"/>
    <w:rsid w:val="00CF2A6F"/>
    <w:rsid w:val="00CF37A0"/>
    <w:rsid w:val="00D02EB2"/>
    <w:rsid w:val="00D040DC"/>
    <w:rsid w:val="00D10DB0"/>
    <w:rsid w:val="00D14ED9"/>
    <w:rsid w:val="00D2287E"/>
    <w:rsid w:val="00D240BC"/>
    <w:rsid w:val="00D243B4"/>
    <w:rsid w:val="00D307C1"/>
    <w:rsid w:val="00D31431"/>
    <w:rsid w:val="00D3205E"/>
    <w:rsid w:val="00D35E01"/>
    <w:rsid w:val="00D45AC9"/>
    <w:rsid w:val="00D57A65"/>
    <w:rsid w:val="00D627AC"/>
    <w:rsid w:val="00D6304C"/>
    <w:rsid w:val="00D63C55"/>
    <w:rsid w:val="00D72362"/>
    <w:rsid w:val="00D840C5"/>
    <w:rsid w:val="00D929C4"/>
    <w:rsid w:val="00DA2A61"/>
    <w:rsid w:val="00DA3CF8"/>
    <w:rsid w:val="00DA56F5"/>
    <w:rsid w:val="00DB228B"/>
    <w:rsid w:val="00DB5602"/>
    <w:rsid w:val="00DB5D9A"/>
    <w:rsid w:val="00DC25CE"/>
    <w:rsid w:val="00DC30DC"/>
    <w:rsid w:val="00DC4305"/>
    <w:rsid w:val="00DD5803"/>
    <w:rsid w:val="00DD7272"/>
    <w:rsid w:val="00DE0192"/>
    <w:rsid w:val="00DE5665"/>
    <w:rsid w:val="00DF212C"/>
    <w:rsid w:val="00E0700E"/>
    <w:rsid w:val="00E07BE0"/>
    <w:rsid w:val="00E11743"/>
    <w:rsid w:val="00E1686F"/>
    <w:rsid w:val="00E21691"/>
    <w:rsid w:val="00E25D03"/>
    <w:rsid w:val="00E260F7"/>
    <w:rsid w:val="00E333E8"/>
    <w:rsid w:val="00E3692A"/>
    <w:rsid w:val="00E40275"/>
    <w:rsid w:val="00E418FC"/>
    <w:rsid w:val="00E43CC8"/>
    <w:rsid w:val="00E46846"/>
    <w:rsid w:val="00E50978"/>
    <w:rsid w:val="00E5178C"/>
    <w:rsid w:val="00E53878"/>
    <w:rsid w:val="00E61EEB"/>
    <w:rsid w:val="00E632C1"/>
    <w:rsid w:val="00E64191"/>
    <w:rsid w:val="00E65CBD"/>
    <w:rsid w:val="00E81467"/>
    <w:rsid w:val="00E863E5"/>
    <w:rsid w:val="00E917C5"/>
    <w:rsid w:val="00E92846"/>
    <w:rsid w:val="00EA27B9"/>
    <w:rsid w:val="00EA429B"/>
    <w:rsid w:val="00EB0222"/>
    <w:rsid w:val="00EB0FB1"/>
    <w:rsid w:val="00EB7404"/>
    <w:rsid w:val="00ED04B1"/>
    <w:rsid w:val="00ED1636"/>
    <w:rsid w:val="00ED2292"/>
    <w:rsid w:val="00ED75E2"/>
    <w:rsid w:val="00ED75F2"/>
    <w:rsid w:val="00EE3664"/>
    <w:rsid w:val="00EF59D2"/>
    <w:rsid w:val="00EF67B1"/>
    <w:rsid w:val="00EF7B8D"/>
    <w:rsid w:val="00F05632"/>
    <w:rsid w:val="00F1198D"/>
    <w:rsid w:val="00F12A11"/>
    <w:rsid w:val="00F1346F"/>
    <w:rsid w:val="00F16661"/>
    <w:rsid w:val="00F17935"/>
    <w:rsid w:val="00F24F29"/>
    <w:rsid w:val="00F25CCD"/>
    <w:rsid w:val="00F328DA"/>
    <w:rsid w:val="00F3471D"/>
    <w:rsid w:val="00F4638E"/>
    <w:rsid w:val="00F477C4"/>
    <w:rsid w:val="00F555C1"/>
    <w:rsid w:val="00F56DE2"/>
    <w:rsid w:val="00F60E48"/>
    <w:rsid w:val="00F64393"/>
    <w:rsid w:val="00F66581"/>
    <w:rsid w:val="00F715D2"/>
    <w:rsid w:val="00F718EA"/>
    <w:rsid w:val="00F729CA"/>
    <w:rsid w:val="00F7527A"/>
    <w:rsid w:val="00F755E8"/>
    <w:rsid w:val="00F83094"/>
    <w:rsid w:val="00F83B42"/>
    <w:rsid w:val="00F83C5C"/>
    <w:rsid w:val="00F844C6"/>
    <w:rsid w:val="00F86D8C"/>
    <w:rsid w:val="00F87563"/>
    <w:rsid w:val="00F93295"/>
    <w:rsid w:val="00FA15BD"/>
    <w:rsid w:val="00FA6516"/>
    <w:rsid w:val="00FB0853"/>
    <w:rsid w:val="00FB1044"/>
    <w:rsid w:val="00FB28A9"/>
    <w:rsid w:val="00FB3550"/>
    <w:rsid w:val="00FC3BDF"/>
    <w:rsid w:val="00FC60B5"/>
    <w:rsid w:val="00FD2AB3"/>
    <w:rsid w:val="00FD6E71"/>
    <w:rsid w:val="00FE387F"/>
    <w:rsid w:val="00FF3952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58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587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F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F392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F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F39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顾轶婷</dc:creator>
  <cp:lastModifiedBy>屈水令</cp:lastModifiedBy>
  <cp:revision>4</cp:revision>
  <cp:lastPrinted>2016-07-25T07:01:00Z</cp:lastPrinted>
  <dcterms:created xsi:type="dcterms:W3CDTF">2016-07-14T05:59:00Z</dcterms:created>
  <dcterms:modified xsi:type="dcterms:W3CDTF">2016-11-16T10:03:00Z</dcterms:modified>
</cp:coreProperties>
</file>