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0" w:rsidRPr="00E170D0" w:rsidRDefault="00E170D0" w:rsidP="00E170D0">
      <w:pPr>
        <w:widowControl/>
        <w:spacing w:before="100" w:beforeAutospacing="1" w:after="88"/>
        <w:jc w:val="left"/>
        <w:outlineLvl w:val="2"/>
        <w:rPr>
          <w:rFonts w:ascii="Montserrat" w:eastAsia="宋体" w:hAnsi="Montserrat" w:cs="Helvetica"/>
          <w:b/>
          <w:bCs/>
          <w:color w:val="E71C41"/>
          <w:kern w:val="0"/>
          <w:sz w:val="24"/>
          <w:szCs w:val="24"/>
        </w:rPr>
      </w:pPr>
      <w:r w:rsidRPr="00E170D0">
        <w:rPr>
          <w:rFonts w:ascii="Montserrat" w:eastAsia="宋体" w:hAnsi="Montserrat" w:cs="Helvetica"/>
          <w:b/>
          <w:bCs/>
          <w:color w:val="E71C41"/>
          <w:kern w:val="0"/>
          <w:sz w:val="24"/>
          <w:szCs w:val="24"/>
        </w:rPr>
        <w:t xml:space="preserve">Important HIV prevention, treatment and cure research unveiled at </w:t>
      </w:r>
      <w:r w:rsidRPr="00E170D0">
        <w:rPr>
          <w:rFonts w:ascii="Montserrat" w:eastAsia="宋体" w:hAnsi="Montserrat" w:cs="Helvetica"/>
          <w:b/>
          <w:bCs/>
          <w:i/>
          <w:iCs/>
          <w:color w:val="E71C41"/>
          <w:kern w:val="0"/>
          <w:sz w:val="24"/>
          <w:szCs w:val="24"/>
        </w:rPr>
        <w:t>AIDS 2020: Virtual</w:t>
      </w:r>
    </w:p>
    <w:p w:rsidR="00E170D0" w:rsidRPr="00E170D0" w:rsidRDefault="00E170D0" w:rsidP="00E170D0">
      <w:pPr>
        <w:widowControl/>
        <w:spacing w:before="204" w:after="204"/>
        <w:jc w:val="center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New data provides insights with potential real-world implications for people living with HIV – including a promising long-acting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injectable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HIV prevention drug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7 July 2020 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– Leading HIV researchers announced important new developments in HIV research at the 23rd International AIDS Conference (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AIDS 2020: Virtual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) today. This includes what may be the first report of an adult with HIV to achieve long-term HIV remission without the need for a bone marrow transplant and new data showing that long-acting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injectable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cabotegravir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is superior to daily oral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Truvada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for pre-exposure prophylaxis (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).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Other announcements included promising new insights on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PrEP’s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impact on reducing HIV incidence in rural Kenya and Uganda, encouraging data on the potential link between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and neural tube defects, and positive results in a trial comparing multidrug antiretroviral therapies.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“Since 1985 the International AIDS Conference has helped answer the most pressing research questions in HIV, and this year is no different,” Anton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Pozniak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, President of the International AIDS Society and International Chair of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AIDS 2020: Virtual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, said. “The studies presented at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AIDS 2020: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Virtual 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advance our knowledge on multiple fronts, knowledge that can potentially help the communities and regions most impacted by HIV worldwide.”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Today’s press conference highlighted five studies covering prevention, treatment and cure research selected from the thousands of abstracts being presented at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AIDS 2020: Virtual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Data shows long-acting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injectable</w:t>
      </w:r>
      <w:proofErr w:type="spellEnd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cabotegravir</w:t>
      </w:r>
      <w:proofErr w:type="spellEnd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 is more effective in preventing HIV than daily, oral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Truvada</w:t>
      </w:r>
      <w:proofErr w:type="spellEnd"/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The HPTN 083 clinical trial is the first study to compare the efficacy of long-acting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injectable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cabotegravir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with daily oral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Truvada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for HIV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PrEP.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The trial enrolled 4,570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cisgender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men and transgender women who have sex with men at 43 sites in Argentina, Brazil, Peru, United States, South Africa, Thailand and Vietnam.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In May, the study was stopped, but interim data showed that long-acting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cabotegravir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, when given by injection every two months, is highly effective for preventing HIV in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cisgender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men and transgender women who have sex with men.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Updated results announced at today’s press conference found that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cabotegravir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for long-acting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injectable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is not only just as effective, but superior, to daily, oral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Truvada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for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PrEP.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Raphael J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Landovitz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of the UCLA Center for Clinical AIDS 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lastRenderedPageBreak/>
        <w:t xml:space="preserve">Research &amp; Education reported that adherence for daily, oral treatment regimens have proven difficult to maintain and that a safe injection every two months is an appealing alternative for people around the world.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[Note above summary includes updated information not included in the submitted abstract; additional details will be presented on site.]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Abstract: HPTN083 interim results: Pre-exposure prophylaxis (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) containing long-acting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injectable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cabotegravir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(CAB-LA) is safe and highly effective for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cisgender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men and transgender women who have sex with men (MSM, TGW)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Session: Co-Chairs’ Choice (Prime Channel-Live; Wednesday, 8 July, 02:00 PM PDT)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Report shows first possible case of adult with HIV to achieve long-term remission without a bone marrow transplant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This pilot proof-of-concept study administered intensified multidrug antiretroviral therapy (ART) with twice-daily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nicotinamide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for 48 weeks to five individuals to determine if these regimens would be able to achieve an HIV cure. Baseline ART was intensified with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maraviroc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and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,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nicotinamide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inhibits immune exhaustion-related lymphocyte apoptosis and has multiple potential anti-latency mechanisms.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Data presented today by </w:t>
      </w: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Ricardo Diaz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of the University of Sao Paulo revealed that one of the five individuals receiving this treatment regimen, a 34-year-old Brazilian male diagnosed with HIV in 2012, has maintained long-term HIV remission without the need for a bone marrow transplant. Notably, 57 weeks after structured treatment interruption, his HIV DNA in cells and his HIV antibody test remains negative.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The presenter noted that the findings are exciting but preliminary and that further analyses into viral cultivation and sequential HIV antibody profile and detection are ongoing.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[Summary based on submitted abstract; updated data may be presented on site.]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Abstract: The first long-term remission of chronic HIV-1 infection without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myeloablation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?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Session: Co-Chairs’ Choice (Prime Channel-Live; Wednesday, 8 July, 02:00 PM PDT)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Encouraging update from the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Tsepamo</w:t>
      </w:r>
      <w:proofErr w:type="spellEnd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 study provides new insights into the potential link between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 and neural tube defects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The ongoing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Tsepamo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study surveys birth outcomes at government hospitals in Botswana in order to identify neural tube defects among infants born to women on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.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is a major component of first-line HIV therapy in the World Health Organization’s (WHO’s) treatment guidelines.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Earlier study data showed that the rate of neural tube defects with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is not significantly higher than with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efavirenz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or other antiretroviral therapy. This new data includes 39,200 births surveyed from March 2019 to April 2020. Neural tube defects were identified in 0.19% of infants born to women on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at the time of conception and in 0.04% of infants born to women who started taking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during pregnancy.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Rebecca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Zash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of Harvard Medical School and the Botswana Harvard AIDS Institute Partnership reported that these data further support </w:t>
      </w:r>
      <w:proofErr w:type="gram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WHO’s</w:t>
      </w:r>
      <w:proofErr w:type="gram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2019 decision to continue to recommend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. Infants born to mothers who were on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from conception were not significantly more likely to have neural tube defects compared with infants whose mothers were on any non-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antiretrovirals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. Additionally, after a period of decline, the prevalence of neural tube defects among infants born to women on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at conception may be stabilizing at approximately two per 1,000.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[Summary based on submitted abstract; updated data may be presented on site.]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Abstract: Update on neural tube defects with antiretroviral exposure in the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Tsepamo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study: Botswana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Session: Co-Chairs’ Choice (Prime Channel-Live; Wednesday, 8 July, 02:00 PM PDT)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Comparison of three first-line HIV treatment combinations yields positive results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South Africa’s phase 3, randomized ADVANCE trial compares three combinations for first-line HIV treatment: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tenofovir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alafenamide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/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emtricitabine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or </w:t>
      </w:r>
      <w:proofErr w:type="spellStart"/>
      <w:proofErr w:type="gram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lamivudine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(</w:t>
      </w:r>
      <w:proofErr w:type="gram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3TC)+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(TAF/FTC+DTG),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tenofovir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disoproxil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fumarate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/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emtricitabine+dolutegravir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(TDF/FTC+DTG), and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tenofovir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disoproxil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fumarate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/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emtricitabine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/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efavirenz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(TDF/FTC/EFV). Most treatment-naïve people with HIV in low- and middle-income countries were taking TDF with FTC (or 3TC) and EFV as first-line treatment, until a transition away from EFV in recent years.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The trial randomized about 1,000 people with HIV from February 2017 to May 2018. Last year, 48-week results were released, and the 96-week results announced today showed that TAF/FTC+DTG and TDF/FTC+DTG were just as effective as TDF/FTC/EFV. Low rates of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virologic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failure were reported across all study arms despite over 10% of clients in South Africa having transmitted NNRTI drug resistance. Participants receiving the DTG-based regimens gained more weight than those taking the EFV-based regimen.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Presenter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Simiso</w:t>
      </w:r>
      <w:proofErr w:type="spellEnd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Sokhela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of the University of the Witwatersrand reported that the ongoing study provides further evidence supporting </w:t>
      </w:r>
      <w:proofErr w:type="gram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WHO’s</w:t>
      </w:r>
      <w:proofErr w:type="gram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decision to recommend DTG/TDF/XTC-based regimens for first-line therapy worldwide.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[Summary based on submitted abstract; updated data may be presented on site.]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Abstract: The ADVANCE trial: Phase 3,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randomised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comparison of TAF/FTC+DTG, TDF/FTC+DTG or TDF/FTC/EFV for first-line treatment of HIV-1 infection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Session: Co-Chairs’ Choice (Prime Channel-Live; Wednesday, 8 July, 02:00 PM PDT)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Interim SEARCH study results show </w:t>
      </w:r>
      <w:proofErr w:type="spellStart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 xml:space="preserve"> has a better-than-expected impact on reducing new HIV infections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The ongoing SEARCH study is a population-based study in 16 rural Kenyan and Ugandan communities assessing the impact of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use on new HIV infections. From June 2016 to April 2019, 15,623 people with elevated vulnerability to HIV were offered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as part of the study.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Catherine Koss</w:t>
      </w: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of the University of California, San Francisco, noted that the results offer evidence of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PrEP’s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real-world impact in rural Africa, highlighting the need to expand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access to all areas of Africa.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Koss reported that new HIV infections were 79% lower among people who initiated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and subsequently received HIV testing than in matched controls in 2015-2017 before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was generally available. Over 7,143 person-years of follow up, just 0.35% of people who had initiated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 were diagnosed with HIV versus 1.42% among matched controls. </w:t>
      </w: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[Summary based on submitted abstract; updated data may be presented on site.]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Abstract: Lower than expected HIV incidence among men and women at elevated HIV risk in a population-based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study in rural Kenya and Uganda: Interim results from the SEARCH study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Session: </w:t>
      </w:r>
      <w:proofErr w:type="spell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PrEP</w:t>
      </w:r>
      <w:proofErr w:type="spell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 xml:space="preserve"> at Scale (Abstract Sessions </w:t>
      </w:r>
      <w:proofErr w:type="gramStart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On-</w:t>
      </w:r>
      <w:proofErr w:type="gramEnd"/>
      <w:r w:rsidRPr="00E170D0">
        <w:rPr>
          <w:rFonts w:ascii="PT Sans" w:eastAsia="宋体" w:hAnsi="PT Sans" w:cs="Helvetica"/>
          <w:i/>
          <w:iCs/>
          <w:color w:val="444444"/>
          <w:kern w:val="0"/>
          <w:sz w:val="24"/>
          <w:szCs w:val="24"/>
        </w:rPr>
        <w:t>Demand Channel)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  <w:u w:val="single"/>
        </w:rPr>
        <w:t xml:space="preserve">Abstracts for the studies featured in this press conference are available </w:t>
      </w:r>
      <w:hyperlink r:id="rId4" w:history="1">
        <w:r w:rsidRPr="00E170D0">
          <w:rPr>
            <w:rFonts w:ascii="PT Sans" w:eastAsia="宋体" w:hAnsi="PT Sans" w:cs="Helvetica"/>
            <w:b/>
            <w:bCs/>
            <w:color w:val="0000FF"/>
            <w:kern w:val="0"/>
            <w:sz w:val="24"/>
            <w:szCs w:val="24"/>
          </w:rPr>
          <w:t>here</w:t>
        </w:r>
      </w:hyperlink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  <w:u w:val="single"/>
        </w:rPr>
        <w:t xml:space="preserve">. 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  <w:u w:val="single"/>
        </w:rPr>
        <w:t> 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###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b/>
          <w:bCs/>
          <w:color w:val="444444"/>
          <w:kern w:val="0"/>
          <w:sz w:val="24"/>
          <w:szCs w:val="24"/>
        </w:rPr>
        <w:t>Media Contacts:</w:t>
      </w:r>
    </w:p>
    <w:p w:rsidR="00E170D0" w:rsidRPr="00E170D0" w:rsidRDefault="00E170D0" w:rsidP="00E170D0">
      <w:pPr>
        <w:widowControl/>
        <w:spacing w:before="204" w:after="204"/>
        <w:jc w:val="left"/>
        <w:rPr>
          <w:rFonts w:ascii="PT Sans" w:eastAsia="宋体" w:hAnsi="PT Sans" w:cs="Helvetica"/>
          <w:color w:val="444444"/>
          <w:kern w:val="0"/>
          <w:sz w:val="24"/>
          <w:szCs w:val="24"/>
        </w:rPr>
      </w:pPr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Leila </w:t>
      </w:r>
      <w:proofErr w:type="spellStart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Darabi</w:t>
      </w:r>
      <w:proofErr w:type="spellEnd"/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 xml:space="preserve">, </w:t>
      </w:r>
      <w:hyperlink r:id="rId5" w:history="1">
        <w:r w:rsidRPr="00E170D0">
          <w:rPr>
            <w:rFonts w:ascii="PT Sans" w:eastAsia="宋体" w:hAnsi="PT Sans" w:cs="Helvetica"/>
            <w:color w:val="0000FF"/>
            <w:kern w:val="0"/>
            <w:sz w:val="24"/>
            <w:szCs w:val="24"/>
          </w:rPr>
          <w:t>leila.darabi@mboothhealth.com</w:t>
        </w:r>
      </w:hyperlink>
      <w:r w:rsidRPr="00E170D0">
        <w:rPr>
          <w:rFonts w:ascii="PT Sans" w:eastAsia="宋体" w:hAnsi="PT Sans" w:cs="Helvetica"/>
          <w:color w:val="444444"/>
          <w:kern w:val="0"/>
          <w:sz w:val="24"/>
          <w:szCs w:val="24"/>
        </w:rPr>
        <w:t>, +1-929-214-2306</w:t>
      </w:r>
    </w:p>
    <w:p w:rsidR="00F11AF4" w:rsidRPr="00E170D0" w:rsidRDefault="00F11AF4" w:rsidP="00E170D0">
      <w:pPr>
        <w:rPr>
          <w:sz w:val="24"/>
          <w:szCs w:val="24"/>
        </w:rPr>
      </w:pPr>
    </w:p>
    <w:sectPr w:rsidR="00F11AF4" w:rsidRPr="00E170D0" w:rsidSect="00F1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170D0"/>
    <w:rsid w:val="000238F2"/>
    <w:rsid w:val="00031E18"/>
    <w:rsid w:val="00034E6C"/>
    <w:rsid w:val="00035939"/>
    <w:rsid w:val="00043C2B"/>
    <w:rsid w:val="000646BB"/>
    <w:rsid w:val="00087C7C"/>
    <w:rsid w:val="000A1356"/>
    <w:rsid w:val="000A4EE8"/>
    <w:rsid w:val="000C1B9B"/>
    <w:rsid w:val="000C2D84"/>
    <w:rsid w:val="000E2B14"/>
    <w:rsid w:val="000E4018"/>
    <w:rsid w:val="000F781F"/>
    <w:rsid w:val="00114140"/>
    <w:rsid w:val="00125E5D"/>
    <w:rsid w:val="0016418D"/>
    <w:rsid w:val="00196FBD"/>
    <w:rsid w:val="001C114E"/>
    <w:rsid w:val="001F15CA"/>
    <w:rsid w:val="002146CB"/>
    <w:rsid w:val="00231D56"/>
    <w:rsid w:val="00236C2F"/>
    <w:rsid w:val="00237EA1"/>
    <w:rsid w:val="00242E61"/>
    <w:rsid w:val="00250764"/>
    <w:rsid w:val="00264D65"/>
    <w:rsid w:val="00265745"/>
    <w:rsid w:val="00275B43"/>
    <w:rsid w:val="00284FDA"/>
    <w:rsid w:val="00293447"/>
    <w:rsid w:val="00324915"/>
    <w:rsid w:val="00332CE2"/>
    <w:rsid w:val="00336E6A"/>
    <w:rsid w:val="00347A3F"/>
    <w:rsid w:val="00347EE8"/>
    <w:rsid w:val="00347FA6"/>
    <w:rsid w:val="00384877"/>
    <w:rsid w:val="00395181"/>
    <w:rsid w:val="003B618E"/>
    <w:rsid w:val="003C5491"/>
    <w:rsid w:val="004019FB"/>
    <w:rsid w:val="00402ACF"/>
    <w:rsid w:val="004035E6"/>
    <w:rsid w:val="004126C2"/>
    <w:rsid w:val="00423772"/>
    <w:rsid w:val="00425B2F"/>
    <w:rsid w:val="0044062C"/>
    <w:rsid w:val="00444D81"/>
    <w:rsid w:val="00464ED9"/>
    <w:rsid w:val="00487E7B"/>
    <w:rsid w:val="004A2E39"/>
    <w:rsid w:val="004C1CC9"/>
    <w:rsid w:val="004C4987"/>
    <w:rsid w:val="004D3D1C"/>
    <w:rsid w:val="004D7499"/>
    <w:rsid w:val="00504673"/>
    <w:rsid w:val="00506CAE"/>
    <w:rsid w:val="0051246D"/>
    <w:rsid w:val="005152CD"/>
    <w:rsid w:val="00533295"/>
    <w:rsid w:val="005368C7"/>
    <w:rsid w:val="00551DCD"/>
    <w:rsid w:val="005732E3"/>
    <w:rsid w:val="0057637C"/>
    <w:rsid w:val="00591067"/>
    <w:rsid w:val="005A7AA5"/>
    <w:rsid w:val="005C622A"/>
    <w:rsid w:val="005D7710"/>
    <w:rsid w:val="005E09EE"/>
    <w:rsid w:val="005E28D7"/>
    <w:rsid w:val="005E2B00"/>
    <w:rsid w:val="005E65A9"/>
    <w:rsid w:val="006126CF"/>
    <w:rsid w:val="006136ED"/>
    <w:rsid w:val="00624064"/>
    <w:rsid w:val="00627962"/>
    <w:rsid w:val="00632906"/>
    <w:rsid w:val="006363CE"/>
    <w:rsid w:val="0064011B"/>
    <w:rsid w:val="00652978"/>
    <w:rsid w:val="00656FA1"/>
    <w:rsid w:val="00663759"/>
    <w:rsid w:val="006675F8"/>
    <w:rsid w:val="0067559C"/>
    <w:rsid w:val="006A75EC"/>
    <w:rsid w:val="006C25B7"/>
    <w:rsid w:val="006E02F3"/>
    <w:rsid w:val="006F44CD"/>
    <w:rsid w:val="0071330A"/>
    <w:rsid w:val="00713783"/>
    <w:rsid w:val="007154DC"/>
    <w:rsid w:val="007353F8"/>
    <w:rsid w:val="00741321"/>
    <w:rsid w:val="00752803"/>
    <w:rsid w:val="007538A8"/>
    <w:rsid w:val="00776769"/>
    <w:rsid w:val="00786F39"/>
    <w:rsid w:val="00794128"/>
    <w:rsid w:val="0079764E"/>
    <w:rsid w:val="007A21F1"/>
    <w:rsid w:val="007A2DED"/>
    <w:rsid w:val="007B1DDD"/>
    <w:rsid w:val="00846D49"/>
    <w:rsid w:val="0086353B"/>
    <w:rsid w:val="008A148C"/>
    <w:rsid w:val="008C56A2"/>
    <w:rsid w:val="008D374B"/>
    <w:rsid w:val="008D77DC"/>
    <w:rsid w:val="008E5140"/>
    <w:rsid w:val="00952C32"/>
    <w:rsid w:val="00966761"/>
    <w:rsid w:val="0097709D"/>
    <w:rsid w:val="009778E5"/>
    <w:rsid w:val="00982C43"/>
    <w:rsid w:val="00995041"/>
    <w:rsid w:val="009A5251"/>
    <w:rsid w:val="009D0871"/>
    <w:rsid w:val="009E4224"/>
    <w:rsid w:val="009F39E5"/>
    <w:rsid w:val="00A00EDB"/>
    <w:rsid w:val="00A05A5F"/>
    <w:rsid w:val="00A11016"/>
    <w:rsid w:val="00A13C95"/>
    <w:rsid w:val="00A26097"/>
    <w:rsid w:val="00A37A54"/>
    <w:rsid w:val="00A53709"/>
    <w:rsid w:val="00A70B5A"/>
    <w:rsid w:val="00A71900"/>
    <w:rsid w:val="00A774B0"/>
    <w:rsid w:val="00A77A1B"/>
    <w:rsid w:val="00A83218"/>
    <w:rsid w:val="00A84A62"/>
    <w:rsid w:val="00A912D9"/>
    <w:rsid w:val="00A9273B"/>
    <w:rsid w:val="00A94742"/>
    <w:rsid w:val="00A96762"/>
    <w:rsid w:val="00A9713C"/>
    <w:rsid w:val="00AA26F9"/>
    <w:rsid w:val="00AB169A"/>
    <w:rsid w:val="00AB1DF5"/>
    <w:rsid w:val="00AC5950"/>
    <w:rsid w:val="00AD08CC"/>
    <w:rsid w:val="00AF71EC"/>
    <w:rsid w:val="00B0012D"/>
    <w:rsid w:val="00B053A1"/>
    <w:rsid w:val="00B51C98"/>
    <w:rsid w:val="00B545AE"/>
    <w:rsid w:val="00B672D5"/>
    <w:rsid w:val="00BA7A0E"/>
    <w:rsid w:val="00BB2430"/>
    <w:rsid w:val="00BD4FE1"/>
    <w:rsid w:val="00BE0BB8"/>
    <w:rsid w:val="00BE387B"/>
    <w:rsid w:val="00C05E99"/>
    <w:rsid w:val="00C10245"/>
    <w:rsid w:val="00C31070"/>
    <w:rsid w:val="00C6335A"/>
    <w:rsid w:val="00C73A1E"/>
    <w:rsid w:val="00C80203"/>
    <w:rsid w:val="00CA72C3"/>
    <w:rsid w:val="00CB07ED"/>
    <w:rsid w:val="00CB5775"/>
    <w:rsid w:val="00CB65BA"/>
    <w:rsid w:val="00CC3003"/>
    <w:rsid w:val="00CD4A44"/>
    <w:rsid w:val="00CE0DB4"/>
    <w:rsid w:val="00CE3766"/>
    <w:rsid w:val="00CF4435"/>
    <w:rsid w:val="00CF5BA5"/>
    <w:rsid w:val="00D10521"/>
    <w:rsid w:val="00D412F9"/>
    <w:rsid w:val="00D509A5"/>
    <w:rsid w:val="00D6512E"/>
    <w:rsid w:val="00D714F4"/>
    <w:rsid w:val="00D71848"/>
    <w:rsid w:val="00D73A38"/>
    <w:rsid w:val="00D76BE5"/>
    <w:rsid w:val="00D826AA"/>
    <w:rsid w:val="00DA2AD5"/>
    <w:rsid w:val="00DB24E5"/>
    <w:rsid w:val="00DB2627"/>
    <w:rsid w:val="00DE685A"/>
    <w:rsid w:val="00DF0854"/>
    <w:rsid w:val="00DF6E3E"/>
    <w:rsid w:val="00E11963"/>
    <w:rsid w:val="00E12AEE"/>
    <w:rsid w:val="00E170D0"/>
    <w:rsid w:val="00E330AD"/>
    <w:rsid w:val="00E438C3"/>
    <w:rsid w:val="00E52F24"/>
    <w:rsid w:val="00E556B0"/>
    <w:rsid w:val="00E56D00"/>
    <w:rsid w:val="00E93C65"/>
    <w:rsid w:val="00EA5B43"/>
    <w:rsid w:val="00EC4FE1"/>
    <w:rsid w:val="00EC689A"/>
    <w:rsid w:val="00EF4422"/>
    <w:rsid w:val="00F01D99"/>
    <w:rsid w:val="00F0204C"/>
    <w:rsid w:val="00F04AFD"/>
    <w:rsid w:val="00F11AF4"/>
    <w:rsid w:val="00F12493"/>
    <w:rsid w:val="00F43FA9"/>
    <w:rsid w:val="00F61EA1"/>
    <w:rsid w:val="00F717CA"/>
    <w:rsid w:val="00F932B7"/>
    <w:rsid w:val="00F94223"/>
    <w:rsid w:val="00FA00E6"/>
    <w:rsid w:val="00FA2477"/>
    <w:rsid w:val="00FC17EC"/>
    <w:rsid w:val="00FC7C6A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D0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E170D0"/>
    <w:rPr>
      <w:i/>
      <w:iCs/>
    </w:rPr>
  </w:style>
  <w:style w:type="character" w:styleId="a5">
    <w:name w:val="Strong"/>
    <w:basedOn w:val="a0"/>
    <w:uiPriority w:val="22"/>
    <w:qFormat/>
    <w:rsid w:val="00E170D0"/>
    <w:rPr>
      <w:b/>
      <w:bCs/>
    </w:rPr>
  </w:style>
  <w:style w:type="paragraph" w:styleId="a6">
    <w:name w:val="Normal (Web)"/>
    <w:basedOn w:val="a"/>
    <w:uiPriority w:val="99"/>
    <w:semiHidden/>
    <w:unhideWhenUsed/>
    <w:rsid w:val="00E170D0"/>
    <w:pPr>
      <w:widowControl/>
      <w:spacing w:before="204" w:after="204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708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7378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88">
                                  <w:marLeft w:val="0"/>
                                  <w:marRight w:val="0"/>
                                  <w:marTop w:val="44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la.darabi@mboothhealth.com" TargetMode="External"/><Relationship Id="rId4" Type="http://schemas.openxmlformats.org/officeDocument/2006/relationships/hyperlink" Target="https://eur03.safelinks.protection.outlook.com/?url=https%3A%2F%2Faids2020.org%2Fwp-content%2Fuploads%2F2020%2F07%2FHIV-Highlights-Press-Conference-Abstracts.pdf&amp;data=02%7C01%7Cannabelle.mcgregor%40iasociety.org%7Cc7bccd08e9084638646008d82268d68b%7C13f8fe7fc6804beea11663591d6bee32%7C0%7C0%7C637297181696093676&amp;sdata=uAbRf5R0JvURqcOrdzB0BECfeAOLPjODa6PvPL8v4v8%3D&amp;reserved=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潘玲</dc:creator>
  <cp:lastModifiedBy>潘玲</cp:lastModifiedBy>
  <cp:revision>1</cp:revision>
  <dcterms:created xsi:type="dcterms:W3CDTF">2020-07-22T05:50:00Z</dcterms:created>
  <dcterms:modified xsi:type="dcterms:W3CDTF">2020-07-22T05:51:00Z</dcterms:modified>
</cp:coreProperties>
</file>