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261"/>
        <w:gridCol w:w="4261"/>
      </w:tblGrid>
      <w:tr w:rsidR="00656CA6" w:rsidTr="00656CA6">
        <w:tc>
          <w:tcPr>
            <w:tcW w:w="4261" w:type="dxa"/>
          </w:tcPr>
          <w:p w:rsidR="00656CA6" w:rsidRDefault="00CC3C2F" w:rsidP="00656CA6">
            <w:r>
              <w:pict>
                <v:group id="_x0000_s1028" editas="canvas" style="width:111.4pt;height:81.3pt;mso-position-horizontal-relative:char;mso-position-vertical-relative:line" coordsize="2228,162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28;height:1626" o:preferrelative="f">
                    <v:fill o:detectmouseclick="t"/>
                    <v:path o:extrusionok="t" o:connecttype="none"/>
                    <o:lock v:ext="edit" text="t"/>
                  </v:shape>
                  <v:shape id="_x0000_s1029" type="#_x0000_t75" style="position:absolute;width:2228;height:1626">
                    <v:imagedata r:id="rId7" o:title=""/>
                  </v:shape>
                  <w10:wrap type="none"/>
                  <w10:anchorlock/>
                </v:group>
              </w:pict>
            </w:r>
          </w:p>
        </w:tc>
        <w:tc>
          <w:tcPr>
            <w:tcW w:w="4261" w:type="dxa"/>
          </w:tcPr>
          <w:p w:rsidR="00656CA6" w:rsidRDefault="00CC3C2F" w:rsidP="00656CA6">
            <w:pPr>
              <w:jc w:val="right"/>
            </w:pPr>
            <w:r>
              <w:pict>
                <v:group id="_x0000_s1032" editas="canvas" style="width:144.3pt;height:60.4pt;mso-position-horizontal-relative:char;mso-position-vertical-relative:line" coordsize="2886,1208">
                  <o:lock v:ext="edit" aspectratio="t"/>
                  <v:shape id="_x0000_s1031" type="#_x0000_t75" style="position:absolute;width:2886;height:1208" o:preferrelative="f">
                    <v:fill o:detectmouseclick="t"/>
                    <v:path o:extrusionok="t" o:connecttype="none"/>
                    <o:lock v:ext="edit" text="t"/>
                  </v:shape>
                  <v:shape id="_x0000_s1033" type="#_x0000_t75" style="position:absolute;width:2886;height:1208">
                    <v:imagedata r:id="rId8" o:title=""/>
                  </v:shape>
                  <w10:wrap type="none"/>
                  <w10:anchorlock/>
                </v:group>
              </w:pict>
            </w:r>
          </w:p>
        </w:tc>
      </w:tr>
    </w:tbl>
    <w:p w:rsidR="00656CA6" w:rsidRDefault="00656CA6" w:rsidP="00B7463E">
      <w:pPr>
        <w:jc w:val="center"/>
      </w:pPr>
    </w:p>
    <w:p w:rsidR="00B82296" w:rsidRDefault="00B82296" w:rsidP="00B7463E">
      <w:pPr>
        <w:jc w:val="center"/>
        <w:rPr>
          <w:rFonts w:cs="宋体"/>
          <w:b/>
          <w:bCs/>
          <w:sz w:val="28"/>
          <w:szCs w:val="28"/>
        </w:rPr>
      </w:pPr>
      <w:r>
        <w:rPr>
          <w:rFonts w:cs="宋体" w:hint="eastAsia"/>
          <w:b/>
          <w:bCs/>
          <w:sz w:val="28"/>
          <w:szCs w:val="28"/>
        </w:rPr>
        <w:t>对埃博拉患者进行接诊准备的清单</w:t>
      </w:r>
    </w:p>
    <w:p w:rsidR="001C5176" w:rsidRPr="00070839" w:rsidRDefault="00B82296" w:rsidP="00B7463E">
      <w:pPr>
        <w:jc w:val="center"/>
        <w:rPr>
          <w:b/>
          <w:sz w:val="28"/>
          <w:szCs w:val="28"/>
        </w:rPr>
      </w:pPr>
      <w:r>
        <w:rPr>
          <w:rFonts w:cs="宋体" w:hint="eastAsia"/>
          <w:b/>
          <w:bCs/>
          <w:sz w:val="28"/>
          <w:szCs w:val="28"/>
        </w:rPr>
        <w:t>--------</w:t>
      </w:r>
      <w:r w:rsidR="00B7463E" w:rsidRPr="00070839">
        <w:rPr>
          <w:rFonts w:hint="eastAsia"/>
          <w:b/>
          <w:sz w:val="28"/>
          <w:szCs w:val="28"/>
        </w:rPr>
        <w:t>医疗机构</w:t>
      </w:r>
      <w:r>
        <w:rPr>
          <w:rFonts w:hint="eastAsia"/>
          <w:b/>
          <w:sz w:val="28"/>
          <w:szCs w:val="28"/>
        </w:rPr>
        <w:t>用</w:t>
      </w:r>
    </w:p>
    <w:p w:rsidR="00B7463E" w:rsidRPr="00B7463E" w:rsidRDefault="00B7463E"/>
    <w:p w:rsidR="00AD1907" w:rsidRDefault="00B7463E" w:rsidP="00070839">
      <w:pPr>
        <w:spacing w:after="100" w:afterAutospacing="1"/>
      </w:pPr>
      <w:r>
        <w:rPr>
          <w:rFonts w:hint="eastAsia"/>
        </w:rPr>
        <w:t>美国卫生与</w:t>
      </w:r>
      <w:r w:rsidR="00B82296">
        <w:rPr>
          <w:rFonts w:hint="eastAsia"/>
        </w:rPr>
        <w:t>人类</w:t>
      </w:r>
      <w:r>
        <w:rPr>
          <w:rFonts w:hint="eastAsia"/>
        </w:rPr>
        <w:t>服务部疾病预防控制中心（</w:t>
      </w:r>
      <w:r>
        <w:rPr>
          <w:rFonts w:hint="eastAsia"/>
        </w:rPr>
        <w:t>CDC</w:t>
      </w:r>
      <w:r w:rsidR="00BB7DBA">
        <w:rPr>
          <w:rFonts w:hint="eastAsia"/>
        </w:rPr>
        <w:t>）</w:t>
      </w:r>
      <w:r w:rsidR="00B82296">
        <w:rPr>
          <w:rFonts w:hint="eastAsia"/>
        </w:rPr>
        <w:t>、准备</w:t>
      </w:r>
      <w:r>
        <w:rPr>
          <w:rFonts w:hint="eastAsia"/>
        </w:rPr>
        <w:t>与应对助理部长办公室（</w:t>
      </w:r>
      <w:r>
        <w:rPr>
          <w:rFonts w:hint="eastAsia"/>
        </w:rPr>
        <w:t>ASPR</w:t>
      </w:r>
      <w:r>
        <w:rPr>
          <w:rFonts w:hint="eastAsia"/>
        </w:rPr>
        <w:t>）</w:t>
      </w:r>
      <w:r w:rsidR="00B82296">
        <w:rPr>
          <w:rFonts w:hint="eastAsia"/>
        </w:rPr>
        <w:t>与其</w:t>
      </w:r>
      <w:r>
        <w:rPr>
          <w:rFonts w:hint="eastAsia"/>
        </w:rPr>
        <w:t>他联邦、州</w:t>
      </w:r>
      <w:r w:rsidR="00253126">
        <w:rPr>
          <w:rFonts w:hint="eastAsia"/>
        </w:rPr>
        <w:t>和地方</w:t>
      </w:r>
      <w:r>
        <w:rPr>
          <w:rFonts w:hint="eastAsia"/>
        </w:rPr>
        <w:t>成员，旨在加强对埃博拉的了解，</w:t>
      </w:r>
      <w:r w:rsidR="00931694">
        <w:rPr>
          <w:rFonts w:hint="eastAsia"/>
        </w:rPr>
        <w:t>并</w:t>
      </w:r>
      <w:r>
        <w:rPr>
          <w:rFonts w:hint="eastAsia"/>
        </w:rPr>
        <w:t>鼓励</w:t>
      </w:r>
      <w:bookmarkStart w:id="0" w:name="OLE_LINK1"/>
      <w:bookmarkStart w:id="1" w:name="OLE_LINK2"/>
      <w:r w:rsidR="00931694">
        <w:rPr>
          <w:rFonts w:hint="eastAsia"/>
        </w:rPr>
        <w:t>美国医疗机构联盟</w:t>
      </w:r>
      <w:bookmarkEnd w:id="0"/>
      <w:bookmarkEnd w:id="1"/>
      <w:r w:rsidR="00931694" w:rsidRPr="00931694">
        <w:rPr>
          <w:rFonts w:hint="eastAsia"/>
          <w:vertAlign w:val="superscript"/>
        </w:rPr>
        <w:t>1</w:t>
      </w:r>
      <w:r w:rsidR="00931694">
        <w:rPr>
          <w:rFonts w:hint="eastAsia"/>
        </w:rPr>
        <w:t>及其成员</w:t>
      </w:r>
      <w:r w:rsidR="00E42AC4">
        <w:rPr>
          <w:rFonts w:hint="eastAsia"/>
        </w:rPr>
        <w:t>为</w:t>
      </w:r>
      <w:r w:rsidR="00931694">
        <w:rPr>
          <w:rFonts w:hint="eastAsia"/>
        </w:rPr>
        <w:t>埃博拉</w:t>
      </w:r>
      <w:r w:rsidR="00E42AC4">
        <w:rPr>
          <w:rFonts w:hint="eastAsia"/>
        </w:rPr>
        <w:t>病毒病</w:t>
      </w:r>
      <w:r w:rsidR="00931694">
        <w:rPr>
          <w:rFonts w:hint="eastAsia"/>
        </w:rPr>
        <w:t>与其他感染性疾病的患者</w:t>
      </w:r>
      <w:r w:rsidR="00E42AC4">
        <w:rPr>
          <w:rFonts w:hint="eastAsia"/>
        </w:rPr>
        <w:t>做好</w:t>
      </w:r>
      <w:r>
        <w:rPr>
          <w:rFonts w:hint="eastAsia"/>
        </w:rPr>
        <w:t>社区级</w:t>
      </w:r>
      <w:r w:rsidR="00976B07">
        <w:rPr>
          <w:rFonts w:hint="eastAsia"/>
        </w:rPr>
        <w:t>准备工作</w:t>
      </w:r>
      <w:r w:rsidR="00931694">
        <w:rPr>
          <w:rFonts w:hint="eastAsia"/>
        </w:rPr>
        <w:t>。我们鼓励医疗机构联盟与其成员合作确保他们能够</w:t>
      </w:r>
      <w:r w:rsidR="00FC78A8">
        <w:rPr>
          <w:rFonts w:hint="eastAsia"/>
        </w:rPr>
        <w:t>对</w:t>
      </w:r>
      <w:r w:rsidR="00AD1907">
        <w:rPr>
          <w:rFonts w:hint="eastAsia"/>
        </w:rPr>
        <w:t>被调查病例（</w:t>
      </w:r>
      <w:r w:rsidR="00AD1907">
        <w:rPr>
          <w:rFonts w:hint="eastAsia"/>
        </w:rPr>
        <w:t>PUI</w:t>
      </w:r>
      <w:r w:rsidR="00AD1907">
        <w:rPr>
          <w:rFonts w:hint="eastAsia"/>
        </w:rPr>
        <w:t>）</w:t>
      </w:r>
      <w:r w:rsidR="00FC78A8">
        <w:rPr>
          <w:rFonts w:hint="eastAsia"/>
        </w:rPr>
        <w:t>检测</w:t>
      </w:r>
      <w:r w:rsidR="00AD1907">
        <w:rPr>
          <w:rFonts w:hint="eastAsia"/>
        </w:rPr>
        <w:t>是否患有埃博拉，并提供保护</w:t>
      </w:r>
      <w:r w:rsidR="00931694">
        <w:rPr>
          <w:rFonts w:hint="eastAsia"/>
        </w:rPr>
        <w:t>和应对</w:t>
      </w:r>
      <w:r w:rsidR="00AD1907">
        <w:rPr>
          <w:rFonts w:hint="eastAsia"/>
        </w:rPr>
        <w:t>。埃博拉的许多</w:t>
      </w:r>
      <w:r w:rsidR="0026744F">
        <w:rPr>
          <w:rFonts w:hint="eastAsia"/>
        </w:rPr>
        <w:t>体征</w:t>
      </w:r>
      <w:r w:rsidR="00AD1907">
        <w:rPr>
          <w:rFonts w:hint="eastAsia"/>
        </w:rPr>
        <w:t>和症状</w:t>
      </w:r>
      <w:r w:rsidR="0036689D">
        <w:rPr>
          <w:rFonts w:hint="eastAsia"/>
        </w:rPr>
        <w:t>呈现</w:t>
      </w:r>
      <w:r w:rsidR="00AD1907">
        <w:rPr>
          <w:rFonts w:hint="eastAsia"/>
        </w:rPr>
        <w:t>非特异性，</w:t>
      </w:r>
      <w:r w:rsidR="0036689D">
        <w:rPr>
          <w:rFonts w:hint="eastAsia"/>
        </w:rPr>
        <w:t>与许多其他常见的感染性疾病类似，如</w:t>
      </w:r>
      <w:r w:rsidR="00AD1907">
        <w:rPr>
          <w:rFonts w:hint="eastAsia"/>
        </w:rPr>
        <w:t>西非常见</w:t>
      </w:r>
      <w:r w:rsidR="00FE3E64">
        <w:rPr>
          <w:rFonts w:hint="eastAsia"/>
        </w:rPr>
        <w:t>的</w:t>
      </w:r>
      <w:r w:rsidR="00AD1907">
        <w:rPr>
          <w:rFonts w:hint="eastAsia"/>
        </w:rPr>
        <w:t>疟疾。利用适当的感染控制措施，可防止埃博拉的传播。</w:t>
      </w:r>
    </w:p>
    <w:p w:rsidR="00DE2872" w:rsidRDefault="009E66DE" w:rsidP="00070839">
      <w:pPr>
        <w:spacing w:after="100" w:afterAutospacing="1"/>
      </w:pPr>
      <w:r>
        <w:rPr>
          <w:rFonts w:hint="eastAsia"/>
        </w:rPr>
        <w:t>本</w:t>
      </w:r>
      <w:r w:rsidR="005E742B">
        <w:rPr>
          <w:rFonts w:hint="eastAsia"/>
        </w:rPr>
        <w:t>清单</w:t>
      </w:r>
      <w:r w:rsidR="00890A53">
        <w:rPr>
          <w:rFonts w:hint="eastAsia"/>
        </w:rPr>
        <w:t>通过</w:t>
      </w:r>
      <w:r w:rsidR="005E742B">
        <w:rPr>
          <w:rFonts w:hint="eastAsia"/>
        </w:rPr>
        <w:t>强调</w:t>
      </w:r>
      <w:r w:rsidR="00D12250">
        <w:rPr>
          <w:rFonts w:hint="eastAsia"/>
        </w:rPr>
        <w:t>医疗机构联盟</w:t>
      </w:r>
      <w:r w:rsidR="00A261FC">
        <w:rPr>
          <w:rFonts w:hint="eastAsia"/>
        </w:rPr>
        <w:t>在其成员</w:t>
      </w:r>
      <w:r w:rsidR="00D12250">
        <w:rPr>
          <w:rFonts w:hint="eastAsia"/>
        </w:rPr>
        <w:t>设施</w:t>
      </w:r>
      <w:r w:rsidR="00164D6E">
        <w:rPr>
          <w:rFonts w:hint="eastAsia"/>
        </w:rPr>
        <w:t>内</w:t>
      </w:r>
      <w:r w:rsidR="00EB0B5E">
        <w:rPr>
          <w:rFonts w:hint="eastAsia"/>
        </w:rPr>
        <w:t>对</w:t>
      </w:r>
      <w:r w:rsidR="00D12250">
        <w:rPr>
          <w:rFonts w:hint="eastAsia"/>
        </w:rPr>
        <w:t>被调查病例（</w:t>
      </w:r>
      <w:r w:rsidR="00D12250">
        <w:rPr>
          <w:rFonts w:hint="eastAsia"/>
        </w:rPr>
        <w:t>PUI</w:t>
      </w:r>
      <w:r w:rsidR="00D12250">
        <w:rPr>
          <w:rFonts w:hint="eastAsia"/>
        </w:rPr>
        <w:t>）</w:t>
      </w:r>
      <w:r w:rsidR="00EC7D1B">
        <w:rPr>
          <w:rFonts w:hint="eastAsia"/>
        </w:rPr>
        <w:t>做</w:t>
      </w:r>
      <w:r w:rsidR="00A261FC">
        <w:rPr>
          <w:rFonts w:hint="eastAsia"/>
        </w:rPr>
        <w:t>好埃博拉应对准备时的关键方面，来</w:t>
      </w:r>
      <w:r w:rsidR="00890A53">
        <w:rPr>
          <w:rFonts w:hint="eastAsia"/>
        </w:rPr>
        <w:t>加强</w:t>
      </w:r>
      <w:r w:rsidR="005E742B">
        <w:rPr>
          <w:rFonts w:hint="eastAsia"/>
        </w:rPr>
        <w:t>对埃博拉的</w:t>
      </w:r>
      <w:r w:rsidR="00890A53">
        <w:rPr>
          <w:rFonts w:hint="eastAsia"/>
        </w:rPr>
        <w:t>整体</w:t>
      </w:r>
      <w:r w:rsidR="005E742B">
        <w:rPr>
          <w:rFonts w:hint="eastAsia"/>
        </w:rPr>
        <w:t>准备</w:t>
      </w:r>
      <w:r w:rsidR="00890A53">
        <w:rPr>
          <w:rFonts w:hint="eastAsia"/>
        </w:rPr>
        <w:t>和</w:t>
      </w:r>
      <w:r w:rsidR="00A261FC">
        <w:rPr>
          <w:rFonts w:hint="eastAsia"/>
        </w:rPr>
        <w:t>应对</w:t>
      </w:r>
      <w:r>
        <w:rPr>
          <w:rFonts w:hint="eastAsia"/>
        </w:rPr>
        <w:t>。</w:t>
      </w:r>
      <w:r w:rsidR="00A261FC">
        <w:rPr>
          <w:rFonts w:hint="eastAsia"/>
        </w:rPr>
        <w:t>本</w:t>
      </w:r>
      <w:r w:rsidR="00164D6E">
        <w:rPr>
          <w:rFonts w:hint="eastAsia"/>
        </w:rPr>
        <w:t>清单</w:t>
      </w:r>
      <w:r>
        <w:rPr>
          <w:rFonts w:hint="eastAsia"/>
        </w:rPr>
        <w:t>提供</w:t>
      </w:r>
      <w:r w:rsidR="00164D6E">
        <w:rPr>
          <w:rFonts w:hint="eastAsia"/>
        </w:rPr>
        <w:t>了</w:t>
      </w:r>
      <w:r>
        <w:rPr>
          <w:rFonts w:hint="eastAsia"/>
        </w:rPr>
        <w:t>实用</w:t>
      </w:r>
      <w:r w:rsidR="00164D6E">
        <w:rPr>
          <w:rFonts w:hint="eastAsia"/>
        </w:rPr>
        <w:t>且</w:t>
      </w:r>
      <w:r>
        <w:rPr>
          <w:rFonts w:hint="eastAsia"/>
        </w:rPr>
        <w:t>具体</w:t>
      </w:r>
      <w:r w:rsidR="00164D6E">
        <w:rPr>
          <w:rFonts w:hint="eastAsia"/>
        </w:rPr>
        <w:t>的</w:t>
      </w:r>
      <w:r>
        <w:rPr>
          <w:rFonts w:hint="eastAsia"/>
        </w:rPr>
        <w:t>建议，以确保医疗机构联盟成员能够</w:t>
      </w:r>
      <w:r w:rsidR="005213BD">
        <w:rPr>
          <w:rFonts w:hint="eastAsia"/>
        </w:rPr>
        <w:t>对可能的</w:t>
      </w:r>
      <w:r>
        <w:rPr>
          <w:rFonts w:hint="eastAsia"/>
        </w:rPr>
        <w:t>埃博拉病例</w:t>
      </w:r>
      <w:r w:rsidR="005213BD">
        <w:rPr>
          <w:rFonts w:hint="eastAsia"/>
        </w:rPr>
        <w:t>进行检测</w:t>
      </w:r>
      <w:r>
        <w:rPr>
          <w:rFonts w:hint="eastAsia"/>
        </w:rPr>
        <w:t>，保护员工，并</w:t>
      </w:r>
      <w:r w:rsidR="00EC7D1B">
        <w:rPr>
          <w:rFonts w:hint="eastAsia"/>
        </w:rPr>
        <w:t>做</w:t>
      </w:r>
      <w:r>
        <w:rPr>
          <w:rFonts w:hint="eastAsia"/>
        </w:rPr>
        <w:t>出适当应对。</w:t>
      </w:r>
    </w:p>
    <w:p w:rsidR="007E460B" w:rsidRDefault="005B65A2" w:rsidP="00070839">
      <w:pPr>
        <w:spacing w:after="100" w:afterAutospacing="1"/>
      </w:pPr>
      <w:r>
        <w:rPr>
          <w:rFonts w:hint="eastAsia"/>
        </w:rPr>
        <w:t>由于</w:t>
      </w:r>
      <w:r w:rsidR="0022607F">
        <w:rPr>
          <w:rFonts w:hint="eastAsia"/>
        </w:rPr>
        <w:t>在</w:t>
      </w:r>
      <w:r w:rsidR="00DE2872">
        <w:rPr>
          <w:rFonts w:hint="eastAsia"/>
        </w:rPr>
        <w:t>西非</w:t>
      </w:r>
      <w:r w:rsidR="0022607F">
        <w:rPr>
          <w:rFonts w:hint="eastAsia"/>
        </w:rPr>
        <w:t>感染</w:t>
      </w:r>
      <w:r w:rsidR="00DE2872">
        <w:rPr>
          <w:rFonts w:hint="eastAsia"/>
        </w:rPr>
        <w:t>埃博拉</w:t>
      </w:r>
      <w:r w:rsidR="0022607F">
        <w:rPr>
          <w:rFonts w:hint="eastAsia"/>
        </w:rPr>
        <w:t>的</w:t>
      </w:r>
      <w:r w:rsidR="00DE2872">
        <w:rPr>
          <w:rFonts w:hint="eastAsia"/>
        </w:rPr>
        <w:t>患者有可能</w:t>
      </w:r>
      <w:r w:rsidR="0022607F">
        <w:rPr>
          <w:rFonts w:hint="eastAsia"/>
        </w:rPr>
        <w:t>前来</w:t>
      </w:r>
      <w:r w:rsidR="00DE2872">
        <w:rPr>
          <w:rFonts w:hint="eastAsia"/>
        </w:rPr>
        <w:t>美国，并表现出埃博拉的</w:t>
      </w:r>
      <w:r w:rsidR="007B45D8">
        <w:rPr>
          <w:rFonts w:hint="eastAsia"/>
        </w:rPr>
        <w:t>体征</w:t>
      </w:r>
      <w:r w:rsidR="00DE2872">
        <w:rPr>
          <w:rFonts w:hint="eastAsia"/>
        </w:rPr>
        <w:t>和症状，并</w:t>
      </w:r>
      <w:r w:rsidR="0022607F">
        <w:rPr>
          <w:rFonts w:hint="eastAsia"/>
        </w:rPr>
        <w:t>进而到</w:t>
      </w:r>
      <w:r w:rsidR="007E460B">
        <w:rPr>
          <w:rFonts w:hint="eastAsia"/>
        </w:rPr>
        <w:t>美国医疗机构</w:t>
      </w:r>
      <w:r w:rsidR="0022607F">
        <w:rPr>
          <w:rFonts w:hint="eastAsia"/>
        </w:rPr>
        <w:t>就诊</w:t>
      </w:r>
      <w:r w:rsidR="005213BD">
        <w:rPr>
          <w:rFonts w:hint="eastAsia"/>
        </w:rPr>
        <w:t>，因此现在已到了做准备的时间</w:t>
      </w:r>
      <w:r w:rsidR="007E460B">
        <w:rPr>
          <w:rFonts w:hint="eastAsia"/>
        </w:rPr>
        <w:t>。</w:t>
      </w:r>
    </w:p>
    <w:p w:rsidR="00F70DFD" w:rsidRDefault="007E460B" w:rsidP="00070839">
      <w:pPr>
        <w:spacing w:after="100" w:afterAutospacing="1"/>
      </w:pPr>
      <w:r>
        <w:rPr>
          <w:rFonts w:hint="eastAsia"/>
        </w:rPr>
        <w:t>医疗机构联盟应鼓励其成员</w:t>
      </w:r>
      <w:r w:rsidR="00376FCD">
        <w:rPr>
          <w:rFonts w:hint="eastAsia"/>
        </w:rPr>
        <w:t>回顾</w:t>
      </w:r>
      <w:r w:rsidR="00F70DFD">
        <w:rPr>
          <w:rFonts w:hint="eastAsia"/>
        </w:rPr>
        <w:t>感染控制政策和程序，并建议其成员</w:t>
      </w:r>
      <w:r w:rsidR="00376FCD">
        <w:rPr>
          <w:rFonts w:hint="eastAsia"/>
        </w:rPr>
        <w:t>将其</w:t>
      </w:r>
      <w:r w:rsidR="0022607F">
        <w:rPr>
          <w:rFonts w:hint="eastAsia"/>
        </w:rPr>
        <w:t>整合入</w:t>
      </w:r>
      <w:r w:rsidR="00F70DFD">
        <w:rPr>
          <w:rFonts w:hint="eastAsia"/>
        </w:rPr>
        <w:t>行政、环境和</w:t>
      </w:r>
      <w:r w:rsidR="0022607F">
        <w:rPr>
          <w:rFonts w:hint="eastAsia"/>
        </w:rPr>
        <w:t>沟通</w:t>
      </w:r>
      <w:r w:rsidR="00F70DFD">
        <w:rPr>
          <w:rFonts w:hint="eastAsia"/>
        </w:rPr>
        <w:t>措施</w:t>
      </w:r>
      <w:r w:rsidR="0022607F">
        <w:rPr>
          <w:rFonts w:hint="eastAsia"/>
        </w:rPr>
        <w:t>方面</w:t>
      </w:r>
      <w:r w:rsidR="00F70DFD">
        <w:rPr>
          <w:rFonts w:hint="eastAsia"/>
        </w:rPr>
        <w:t>的计划。医疗机构联盟还应与其成员</w:t>
      </w:r>
      <w:r w:rsidR="003364B5">
        <w:rPr>
          <w:rFonts w:hint="eastAsia"/>
        </w:rPr>
        <w:t>一起</w:t>
      </w:r>
      <w:r w:rsidR="00F70DFD">
        <w:rPr>
          <w:rFonts w:hint="eastAsia"/>
        </w:rPr>
        <w:t>制定检测可能感染埃博拉或其他感染性病菌的患者时需要的作业规范；防止在整个社区蔓延；并管理对患者、医疗机构和工作人员的影响。</w:t>
      </w:r>
    </w:p>
    <w:p w:rsidR="009E66DE" w:rsidRDefault="00F70DFD" w:rsidP="00070839">
      <w:pPr>
        <w:spacing w:after="100" w:afterAutospacing="1"/>
      </w:pPr>
      <w:r>
        <w:rPr>
          <w:rFonts w:hint="eastAsia"/>
        </w:rPr>
        <w:t>本</w:t>
      </w:r>
      <w:r w:rsidR="00913D94">
        <w:rPr>
          <w:rFonts w:hint="eastAsia"/>
        </w:rPr>
        <w:t>清单的</w:t>
      </w:r>
      <w:r>
        <w:rPr>
          <w:rFonts w:hint="eastAsia"/>
        </w:rPr>
        <w:t>格式</w:t>
      </w:r>
      <w:r w:rsidR="00913D94">
        <w:rPr>
          <w:rFonts w:hint="eastAsia"/>
        </w:rPr>
        <w:t>并不是意图提出</w:t>
      </w:r>
      <w:r w:rsidR="00922F8A">
        <w:rPr>
          <w:rFonts w:hint="eastAsia"/>
        </w:rPr>
        <w:t>强制性要求或确立国家标准。</w:t>
      </w:r>
      <w:r w:rsidR="00913D94">
        <w:rPr>
          <w:rFonts w:hint="eastAsia"/>
        </w:rPr>
        <w:t>它只</w:t>
      </w:r>
      <w:r w:rsidR="00922F8A">
        <w:rPr>
          <w:rFonts w:hint="eastAsia"/>
        </w:rPr>
        <w:t>是一份</w:t>
      </w:r>
      <w:r w:rsidR="00913D94">
        <w:rPr>
          <w:rFonts w:hint="eastAsia"/>
        </w:rPr>
        <w:t>活动清单用于</w:t>
      </w:r>
      <w:r w:rsidR="00922F8A">
        <w:rPr>
          <w:rFonts w:hint="eastAsia"/>
        </w:rPr>
        <w:t>帮助医疗机构联盟</w:t>
      </w:r>
      <w:r w:rsidR="00913D94">
        <w:rPr>
          <w:rFonts w:hint="eastAsia"/>
        </w:rPr>
        <w:t>各</w:t>
      </w:r>
      <w:r w:rsidR="00922F8A">
        <w:rPr>
          <w:rFonts w:hint="eastAsia"/>
        </w:rPr>
        <w:t>成员</w:t>
      </w:r>
      <w:r w:rsidR="00EC7D1B">
        <w:rPr>
          <w:rFonts w:hint="eastAsia"/>
        </w:rPr>
        <w:t>做</w:t>
      </w:r>
      <w:r w:rsidR="00922F8A">
        <w:rPr>
          <w:rFonts w:hint="eastAsia"/>
        </w:rPr>
        <w:t>好准备工作。</w:t>
      </w:r>
      <w:r w:rsidR="00913D94">
        <w:rPr>
          <w:rFonts w:hint="eastAsia"/>
        </w:rPr>
        <w:t>每个</w:t>
      </w:r>
      <w:r w:rsidR="00922F8A">
        <w:rPr>
          <w:rFonts w:hint="eastAsia"/>
        </w:rPr>
        <w:t>医疗机构联盟各不相同，应</w:t>
      </w:r>
      <w:r w:rsidR="002973D6">
        <w:rPr>
          <w:rFonts w:hint="eastAsia"/>
        </w:rPr>
        <w:t>对本文件进行改编</w:t>
      </w:r>
      <w:r w:rsidR="00922F8A">
        <w:rPr>
          <w:rFonts w:hint="eastAsia"/>
        </w:rPr>
        <w:t>，以满足</w:t>
      </w:r>
      <w:r w:rsidR="002973D6">
        <w:rPr>
          <w:rFonts w:hint="eastAsia"/>
        </w:rPr>
        <w:t>其特定</w:t>
      </w:r>
      <w:r w:rsidR="00922F8A">
        <w:rPr>
          <w:rFonts w:hint="eastAsia"/>
        </w:rPr>
        <w:t>需求。在本检查表中，医护人员是指所有在医疗机构内工作的带薪和</w:t>
      </w:r>
      <w:r w:rsidR="003C6DAF">
        <w:rPr>
          <w:rFonts w:hint="eastAsia"/>
        </w:rPr>
        <w:t>无</w:t>
      </w:r>
      <w:r w:rsidR="00922F8A">
        <w:rPr>
          <w:rFonts w:hint="eastAsia"/>
        </w:rPr>
        <w:t>薪人员，他们有可能暴露于患者和</w:t>
      </w:r>
      <w:r w:rsidR="00922F8A">
        <w:rPr>
          <w:rFonts w:hint="eastAsia"/>
        </w:rPr>
        <w:t>/</w:t>
      </w:r>
      <w:r w:rsidR="00922F8A">
        <w:rPr>
          <w:rFonts w:hint="eastAsia"/>
        </w:rPr>
        <w:t>或感染性材料，包括体液（血液、尿液、粪便、精液、汗液等）、受污染</w:t>
      </w:r>
      <w:r w:rsidR="003C6DAF">
        <w:rPr>
          <w:rFonts w:hint="eastAsia"/>
        </w:rPr>
        <w:t>的</w:t>
      </w:r>
      <w:r w:rsidR="00922F8A">
        <w:rPr>
          <w:rFonts w:hint="eastAsia"/>
        </w:rPr>
        <w:t>医疗</w:t>
      </w:r>
      <w:r w:rsidR="003C6DAF">
        <w:rPr>
          <w:rFonts w:hint="eastAsia"/>
        </w:rPr>
        <w:t>用品</w:t>
      </w:r>
      <w:r w:rsidR="00922F8A">
        <w:rPr>
          <w:rFonts w:hint="eastAsia"/>
        </w:rPr>
        <w:t>和设备或受污染的环境表面。</w:t>
      </w:r>
    </w:p>
    <w:p w:rsidR="002A1F9F" w:rsidRDefault="002A1F9F" w:rsidP="00070839">
      <w:pPr>
        <w:spacing w:after="100" w:afterAutospacing="1"/>
      </w:pPr>
      <w:r>
        <w:rPr>
          <w:rFonts w:hint="eastAsia"/>
        </w:rPr>
        <w:t>HHS</w:t>
      </w:r>
      <w:r>
        <w:rPr>
          <w:rFonts w:hint="eastAsia"/>
        </w:rPr>
        <w:t>已创建一套详细的</w:t>
      </w:r>
      <w:r w:rsidR="001E7BD3">
        <w:rPr>
          <w:rFonts w:hint="eastAsia"/>
        </w:rPr>
        <w:t>清单</w:t>
      </w:r>
      <w:r>
        <w:rPr>
          <w:rFonts w:hint="eastAsia"/>
        </w:rPr>
        <w:t>，您可考虑与您的联盟成员共享此检查表。（</w:t>
      </w:r>
      <w:hyperlink r:id="rId9" w:history="1">
        <w:r w:rsidRPr="008A56FF">
          <w:rPr>
            <w:rStyle w:val="a5"/>
            <w:rFonts w:hint="eastAsia"/>
          </w:rPr>
          <w:t>http://www.cdc.gov/vhf/ebola/hcp/index.html</w:t>
        </w:r>
      </w:hyperlink>
      <w:r>
        <w:rPr>
          <w:rFonts w:hint="eastAsia"/>
        </w:rPr>
        <w:t>）</w:t>
      </w:r>
    </w:p>
    <w:p w:rsidR="00CC3C2F" w:rsidRDefault="007829F1" w:rsidP="00CC3C2F">
      <w:pPr>
        <w:spacing w:after="100" w:afterAutospacing="1"/>
      </w:pPr>
      <w:r>
        <w:rPr>
          <w:rFonts w:hint="eastAsia"/>
        </w:rPr>
        <w:t>CDC</w:t>
      </w:r>
      <w:r w:rsidR="007A01B9">
        <w:rPr>
          <w:rFonts w:hint="eastAsia"/>
        </w:rPr>
        <w:t>全天候提供咨询服务，</w:t>
      </w:r>
      <w:r>
        <w:rPr>
          <w:rFonts w:hint="eastAsia"/>
        </w:rPr>
        <w:t>可</w:t>
      </w:r>
      <w:r w:rsidR="007A01B9" w:rsidRPr="007A01B9">
        <w:rPr>
          <w:rFonts w:hint="eastAsia"/>
        </w:rPr>
        <w:t>致电</w:t>
      </w:r>
      <w:r w:rsidR="007A01B9" w:rsidRPr="007A01B9">
        <w:rPr>
          <w:rFonts w:hint="eastAsia"/>
        </w:rPr>
        <w:t>770-488-7100</w:t>
      </w:r>
      <w:r w:rsidR="007A01B9" w:rsidRPr="007A01B9">
        <w:rPr>
          <w:rFonts w:hint="eastAsia"/>
        </w:rPr>
        <w:t>或发送电子邮件至</w:t>
      </w:r>
      <w:r w:rsidR="007A01B9" w:rsidRPr="007A01B9">
        <w:rPr>
          <w:rFonts w:hint="eastAsia"/>
        </w:rPr>
        <w:t>eocreport@cdc.gov</w:t>
      </w:r>
      <w:r w:rsidR="007A01B9">
        <w:rPr>
          <w:rFonts w:hint="eastAsia"/>
        </w:rPr>
        <w:t>联系</w:t>
      </w:r>
      <w:r w:rsidR="007A01B9">
        <w:rPr>
          <w:rFonts w:hint="eastAsia"/>
        </w:rPr>
        <w:t>CDC</w:t>
      </w:r>
      <w:r w:rsidR="007A01B9">
        <w:rPr>
          <w:rFonts w:hint="eastAsia"/>
        </w:rPr>
        <w:t>应急</w:t>
      </w:r>
      <w:r>
        <w:rPr>
          <w:rFonts w:hint="eastAsia"/>
        </w:rPr>
        <w:t>指挥</w:t>
      </w:r>
      <w:r w:rsidR="007A01B9">
        <w:rPr>
          <w:rFonts w:hint="eastAsia"/>
        </w:rPr>
        <w:t>中心</w:t>
      </w:r>
      <w:r>
        <w:rPr>
          <w:rFonts w:hint="eastAsia"/>
        </w:rPr>
        <w:t>（</w:t>
      </w:r>
      <w:r>
        <w:rPr>
          <w:rFonts w:hint="eastAsia"/>
        </w:rPr>
        <w:t>EOC</w:t>
      </w:r>
      <w:r>
        <w:rPr>
          <w:rFonts w:hint="eastAsia"/>
        </w:rPr>
        <w:t>）</w:t>
      </w:r>
      <w:r w:rsidR="007A01B9">
        <w:rPr>
          <w:rFonts w:hint="eastAsia"/>
        </w:rPr>
        <w:t>即可。</w:t>
      </w:r>
    </w:p>
    <w:p w:rsidR="00C63070" w:rsidRDefault="00C63070">
      <w:r>
        <w:rPr>
          <w:rFonts w:hint="eastAsia"/>
        </w:rPr>
        <w:t>__________________</w:t>
      </w:r>
    </w:p>
    <w:p w:rsidR="00C63070" w:rsidRDefault="00C63070">
      <w:r>
        <w:rPr>
          <w:rFonts w:hint="eastAsia"/>
        </w:rPr>
        <w:t xml:space="preserve">1. </w:t>
      </w:r>
      <w:r>
        <w:rPr>
          <w:rFonts w:hint="eastAsia"/>
        </w:rPr>
        <w:t>登陆</w:t>
      </w:r>
      <w:r>
        <w:rPr>
          <w:rFonts w:hint="eastAsia"/>
        </w:rPr>
        <w:t>http://www.phe.gov/Preparedness/planning/hpp/Pages/overview.aspx</w:t>
      </w:r>
    </w:p>
    <w:p w:rsidR="007A01B9" w:rsidRDefault="007A01B9">
      <w:pPr>
        <w:widowControl/>
        <w:jc w:val="left"/>
      </w:pPr>
    </w:p>
    <w:p w:rsidR="007A01B9" w:rsidRPr="00070839" w:rsidRDefault="00F33F52" w:rsidP="00D31965">
      <w:pPr>
        <w:jc w:val="center"/>
        <w:rPr>
          <w:b/>
        </w:rPr>
      </w:pPr>
      <w:r>
        <w:rPr>
          <w:rFonts w:hint="eastAsia"/>
          <w:b/>
        </w:rPr>
        <w:t>对</w:t>
      </w:r>
      <w:r w:rsidR="00D31965" w:rsidRPr="00070839">
        <w:rPr>
          <w:rFonts w:hint="eastAsia"/>
          <w:b/>
        </w:rPr>
        <w:t>检测</w:t>
      </w:r>
      <w:r>
        <w:rPr>
          <w:rFonts w:hint="eastAsia"/>
          <w:b/>
        </w:rPr>
        <w:t>进行</w:t>
      </w:r>
      <w:r w:rsidR="00D31965" w:rsidRPr="00070839">
        <w:rPr>
          <w:rFonts w:hint="eastAsia"/>
          <w:b/>
        </w:rPr>
        <w:t>准备</w:t>
      </w:r>
    </w:p>
    <w:tbl>
      <w:tblPr>
        <w:tblStyle w:val="a7"/>
        <w:tblW w:w="0" w:type="auto"/>
        <w:tblLook w:val="04A0"/>
      </w:tblPr>
      <w:tblGrid>
        <w:gridCol w:w="6629"/>
        <w:gridCol w:w="992"/>
        <w:gridCol w:w="901"/>
      </w:tblGrid>
      <w:tr w:rsidR="00D31965" w:rsidTr="00D31965">
        <w:tc>
          <w:tcPr>
            <w:tcW w:w="6629" w:type="dxa"/>
          </w:tcPr>
          <w:p w:rsidR="00D31965" w:rsidRDefault="0000576D" w:rsidP="008870A5">
            <w:bookmarkStart w:id="2" w:name="OLE_LINK3"/>
            <w:bookmarkStart w:id="3" w:name="OLE_LINK4"/>
            <w:r>
              <w:rPr>
                <w:rFonts w:hint="eastAsia"/>
              </w:rPr>
              <w:t>确定联盟是否承担以下</w:t>
            </w:r>
            <w:r w:rsidR="008870A5">
              <w:rPr>
                <w:rFonts w:hint="eastAsia"/>
              </w:rPr>
              <w:t>职责</w:t>
            </w:r>
            <w:r>
              <w:rPr>
                <w:rFonts w:hint="eastAsia"/>
              </w:rPr>
              <w:t>：</w:t>
            </w:r>
            <w:bookmarkEnd w:id="2"/>
            <w:bookmarkEnd w:id="3"/>
          </w:p>
        </w:tc>
        <w:tc>
          <w:tcPr>
            <w:tcW w:w="992" w:type="dxa"/>
          </w:tcPr>
          <w:p w:rsidR="00D31965" w:rsidRDefault="00D31965" w:rsidP="00D31965">
            <w:r>
              <w:rPr>
                <w:rFonts w:hint="eastAsia"/>
              </w:rPr>
              <w:t>是</w:t>
            </w:r>
          </w:p>
        </w:tc>
        <w:tc>
          <w:tcPr>
            <w:tcW w:w="901" w:type="dxa"/>
          </w:tcPr>
          <w:p w:rsidR="00D31965" w:rsidRDefault="00D31965" w:rsidP="00D31965">
            <w:r>
              <w:rPr>
                <w:rFonts w:hint="eastAsia"/>
              </w:rPr>
              <w:t>否</w:t>
            </w:r>
          </w:p>
        </w:tc>
      </w:tr>
      <w:tr w:rsidR="00D31965" w:rsidTr="00D31965">
        <w:tc>
          <w:tcPr>
            <w:tcW w:w="6629" w:type="dxa"/>
          </w:tcPr>
          <w:p w:rsidR="00D31965" w:rsidRDefault="0000576D" w:rsidP="00D4401A">
            <w:r>
              <w:rPr>
                <w:rFonts w:hint="eastAsia"/>
              </w:rPr>
              <w:t>鼓励其成员制定通知联盟</w:t>
            </w:r>
            <w:r w:rsidR="00D4401A">
              <w:rPr>
                <w:rFonts w:hint="eastAsia"/>
              </w:rPr>
              <w:t>的确定联系点</w:t>
            </w:r>
            <w:r>
              <w:rPr>
                <w:rFonts w:hint="eastAsia"/>
              </w:rPr>
              <w:t>和其他成员机构</w:t>
            </w:r>
            <w:r w:rsidR="0043667F">
              <w:rPr>
                <w:rFonts w:hint="eastAsia"/>
              </w:rPr>
              <w:t>以及</w:t>
            </w:r>
            <w:r>
              <w:rPr>
                <w:rFonts w:hint="eastAsia"/>
              </w:rPr>
              <w:t>任何埃博拉被调查病例（</w:t>
            </w:r>
            <w:r>
              <w:rPr>
                <w:rFonts w:hint="eastAsia"/>
              </w:rPr>
              <w:t>PUI</w:t>
            </w:r>
            <w:r>
              <w:rPr>
                <w:rFonts w:hint="eastAsia"/>
              </w:rPr>
              <w:t>）的社区合作伙伴</w:t>
            </w:r>
            <w:r w:rsidR="00D4401A">
              <w:rPr>
                <w:rFonts w:hint="eastAsia"/>
              </w:rPr>
              <w:t>的方案</w:t>
            </w:r>
            <w:r>
              <w:rPr>
                <w:rFonts w:hint="eastAsia"/>
              </w:rPr>
              <w:t>。</w:t>
            </w:r>
          </w:p>
        </w:tc>
        <w:tc>
          <w:tcPr>
            <w:tcW w:w="992" w:type="dxa"/>
          </w:tcPr>
          <w:p w:rsidR="00D31965" w:rsidRDefault="00D31965" w:rsidP="00D31965"/>
        </w:tc>
        <w:tc>
          <w:tcPr>
            <w:tcW w:w="901" w:type="dxa"/>
          </w:tcPr>
          <w:p w:rsidR="00D31965" w:rsidRDefault="00D31965" w:rsidP="00D31965"/>
        </w:tc>
      </w:tr>
      <w:tr w:rsidR="00D31965" w:rsidTr="00D31965">
        <w:tc>
          <w:tcPr>
            <w:tcW w:w="6629" w:type="dxa"/>
          </w:tcPr>
          <w:p w:rsidR="00D31965" w:rsidRPr="0043667F" w:rsidRDefault="0043667F" w:rsidP="00390AD1">
            <w:r>
              <w:rPr>
                <w:rFonts w:hint="eastAsia"/>
              </w:rPr>
              <w:t>定期安排与成员会面，协助</w:t>
            </w:r>
            <w:r w:rsidR="00EA4AA7">
              <w:rPr>
                <w:rFonts w:hint="eastAsia"/>
              </w:rPr>
              <w:t>制定</w:t>
            </w:r>
            <w:r w:rsidR="00746101">
              <w:rPr>
                <w:rFonts w:hint="eastAsia"/>
              </w:rPr>
              <w:t>准备和</w:t>
            </w:r>
            <w:r w:rsidR="00390AD1">
              <w:rPr>
                <w:rFonts w:hint="eastAsia"/>
              </w:rPr>
              <w:t>划分</w:t>
            </w:r>
            <w:r w:rsidR="00746101">
              <w:rPr>
                <w:rFonts w:hint="eastAsia"/>
              </w:rPr>
              <w:t>优先资产的</w:t>
            </w:r>
            <w:r>
              <w:rPr>
                <w:rFonts w:hint="eastAsia"/>
              </w:rPr>
              <w:t>埃博拉应对</w:t>
            </w:r>
            <w:r w:rsidR="00EA4AA7">
              <w:rPr>
                <w:rFonts w:hint="eastAsia"/>
              </w:rPr>
              <w:t>计划</w:t>
            </w:r>
            <w:r>
              <w:rPr>
                <w:rFonts w:hint="eastAsia"/>
              </w:rPr>
              <w:t>工作，</w:t>
            </w:r>
            <w:r w:rsidR="00746101">
              <w:rPr>
                <w:rFonts w:hint="eastAsia"/>
              </w:rPr>
              <w:t>并</w:t>
            </w:r>
            <w:r>
              <w:rPr>
                <w:rFonts w:hint="eastAsia"/>
              </w:rPr>
              <w:t>协调各合作伙伴的潜在服务。</w:t>
            </w:r>
          </w:p>
        </w:tc>
        <w:tc>
          <w:tcPr>
            <w:tcW w:w="992" w:type="dxa"/>
          </w:tcPr>
          <w:p w:rsidR="00D31965" w:rsidRDefault="00D31965" w:rsidP="00D31965"/>
        </w:tc>
        <w:tc>
          <w:tcPr>
            <w:tcW w:w="901" w:type="dxa"/>
          </w:tcPr>
          <w:p w:rsidR="00D31965" w:rsidRDefault="00D31965" w:rsidP="00D31965"/>
        </w:tc>
      </w:tr>
      <w:tr w:rsidR="00D31965" w:rsidTr="00D31965">
        <w:tc>
          <w:tcPr>
            <w:tcW w:w="6629" w:type="dxa"/>
          </w:tcPr>
          <w:p w:rsidR="00D31965" w:rsidRPr="0043667F" w:rsidRDefault="0043667F" w:rsidP="00D4401A">
            <w:r>
              <w:rPr>
                <w:rFonts w:hint="eastAsia"/>
              </w:rPr>
              <w:t>鼓励联盟成员参加</w:t>
            </w:r>
            <w:r w:rsidR="00D4401A">
              <w:rPr>
                <w:rFonts w:hint="eastAsia"/>
              </w:rPr>
              <w:t>演练</w:t>
            </w:r>
            <w:r w:rsidR="00746101">
              <w:rPr>
                <w:rFonts w:hint="eastAsia"/>
              </w:rPr>
              <w:t>（如：</w:t>
            </w:r>
            <w:r w:rsidR="00D0416C">
              <w:rPr>
                <w:rFonts w:hint="eastAsia"/>
              </w:rPr>
              <w:t>桌面</w:t>
            </w:r>
            <w:r w:rsidR="00746101">
              <w:rPr>
                <w:rFonts w:hint="eastAsia"/>
              </w:rPr>
              <w:t>讨论、追踪者等），</w:t>
            </w:r>
            <w:r w:rsidR="00D0416C">
              <w:rPr>
                <w:rFonts w:hint="eastAsia"/>
              </w:rPr>
              <w:t>发现</w:t>
            </w:r>
            <w:r w:rsidR="00746101">
              <w:rPr>
                <w:rFonts w:hint="eastAsia"/>
              </w:rPr>
              <w:t>联盟</w:t>
            </w:r>
            <w:r w:rsidR="00F37D17">
              <w:rPr>
                <w:rFonts w:hint="eastAsia"/>
              </w:rPr>
              <w:t>成员在</w:t>
            </w:r>
            <w:r w:rsidR="00746101">
              <w:rPr>
                <w:rFonts w:hint="eastAsia"/>
              </w:rPr>
              <w:t>应对埃博拉病例或聚集性病例</w:t>
            </w:r>
            <w:r w:rsidR="00F37D17">
              <w:rPr>
                <w:rFonts w:hint="eastAsia"/>
              </w:rPr>
              <w:t>及其他感染性疾病</w:t>
            </w:r>
            <w:r w:rsidR="00746101">
              <w:rPr>
                <w:rFonts w:hint="eastAsia"/>
              </w:rPr>
              <w:t>能力</w:t>
            </w:r>
            <w:r w:rsidR="00F37D17">
              <w:rPr>
                <w:rFonts w:hint="eastAsia"/>
              </w:rPr>
              <w:t>上的</w:t>
            </w:r>
            <w:r w:rsidR="00746101">
              <w:rPr>
                <w:rFonts w:hint="eastAsia"/>
              </w:rPr>
              <w:t>差距（如：</w:t>
            </w:r>
            <w:r w:rsidR="00D0416C">
              <w:rPr>
                <w:rFonts w:hint="eastAsia"/>
              </w:rPr>
              <w:t>计划</w:t>
            </w:r>
            <w:r w:rsidR="00746101">
              <w:rPr>
                <w:rFonts w:hint="eastAsia"/>
              </w:rPr>
              <w:t>、人员安排、培训）。</w:t>
            </w:r>
          </w:p>
        </w:tc>
        <w:tc>
          <w:tcPr>
            <w:tcW w:w="992" w:type="dxa"/>
          </w:tcPr>
          <w:p w:rsidR="00D31965" w:rsidRDefault="00D31965" w:rsidP="00D31965"/>
        </w:tc>
        <w:tc>
          <w:tcPr>
            <w:tcW w:w="901" w:type="dxa"/>
          </w:tcPr>
          <w:p w:rsidR="00D31965" w:rsidRDefault="00D31965" w:rsidP="00D31965"/>
        </w:tc>
      </w:tr>
      <w:tr w:rsidR="00746101" w:rsidTr="00D31965">
        <w:tc>
          <w:tcPr>
            <w:tcW w:w="6629" w:type="dxa"/>
          </w:tcPr>
          <w:p w:rsidR="00CC3C2F" w:rsidRDefault="00862AD5">
            <w:r>
              <w:rPr>
                <w:rFonts w:hint="eastAsia"/>
              </w:rPr>
              <w:t>鼓励医疗机构进行</w:t>
            </w:r>
            <w:r w:rsidR="007A63B3">
              <w:rPr>
                <w:rFonts w:hint="eastAsia"/>
              </w:rPr>
              <w:t>分诊</w:t>
            </w:r>
            <w:r w:rsidR="00ED51F7">
              <w:rPr>
                <w:rFonts w:hint="eastAsia"/>
              </w:rPr>
              <w:t>人员的突击</w:t>
            </w:r>
            <w:r>
              <w:rPr>
                <w:rFonts w:hint="eastAsia"/>
              </w:rPr>
              <w:t>演习、抽查和检验，以确定</w:t>
            </w:r>
            <w:r w:rsidR="00FB28C8">
              <w:rPr>
                <w:rFonts w:hint="eastAsia"/>
              </w:rPr>
              <w:t>他们的能力，即整合在</w:t>
            </w:r>
            <w:r w:rsidR="002601B5">
              <w:rPr>
                <w:rFonts w:hint="eastAsia"/>
              </w:rPr>
              <w:t>所在机构的</w:t>
            </w:r>
            <w:r w:rsidR="002A0EE7">
              <w:rPr>
                <w:rFonts w:hint="eastAsia"/>
              </w:rPr>
              <w:t>筛查</w:t>
            </w:r>
            <w:r w:rsidR="00C47E61">
              <w:rPr>
                <w:rFonts w:hint="eastAsia"/>
              </w:rPr>
              <w:t>程序</w:t>
            </w:r>
            <w:r>
              <w:rPr>
                <w:rFonts w:hint="eastAsia"/>
              </w:rPr>
              <w:t>，启动</w:t>
            </w:r>
            <w:r w:rsidR="002601B5">
              <w:rPr>
                <w:rFonts w:hint="eastAsia"/>
              </w:rPr>
              <w:t>通知、</w:t>
            </w:r>
            <w:r>
              <w:rPr>
                <w:rFonts w:hint="eastAsia"/>
              </w:rPr>
              <w:t>隔离和</w:t>
            </w:r>
            <w:r w:rsidR="002601B5">
              <w:rPr>
                <w:rFonts w:hint="eastAsia"/>
              </w:rPr>
              <w:t>PPE</w:t>
            </w:r>
            <w:r>
              <w:rPr>
                <w:rFonts w:hint="eastAsia"/>
              </w:rPr>
              <w:t>程序</w:t>
            </w:r>
            <w:r w:rsidR="00FB28C8">
              <w:rPr>
                <w:rFonts w:hint="eastAsia"/>
              </w:rPr>
              <w:t>方面的能力</w:t>
            </w:r>
            <w:r>
              <w:rPr>
                <w:rFonts w:hint="eastAsia"/>
              </w:rPr>
              <w:t>。</w:t>
            </w:r>
          </w:p>
        </w:tc>
        <w:tc>
          <w:tcPr>
            <w:tcW w:w="992" w:type="dxa"/>
          </w:tcPr>
          <w:p w:rsidR="00746101" w:rsidRDefault="00746101" w:rsidP="00D31965"/>
        </w:tc>
        <w:tc>
          <w:tcPr>
            <w:tcW w:w="901" w:type="dxa"/>
          </w:tcPr>
          <w:p w:rsidR="00746101" w:rsidRDefault="00746101" w:rsidP="00D31965"/>
        </w:tc>
      </w:tr>
      <w:tr w:rsidR="00746101" w:rsidTr="00D31965">
        <w:tc>
          <w:tcPr>
            <w:tcW w:w="6629" w:type="dxa"/>
          </w:tcPr>
          <w:p w:rsidR="00CC3C2F" w:rsidRDefault="00862AD5">
            <w:r>
              <w:rPr>
                <w:rFonts w:hint="eastAsia"/>
              </w:rPr>
              <w:t>与联盟成员举行定期会议，</w:t>
            </w:r>
            <w:r w:rsidR="00091B8E">
              <w:rPr>
                <w:rFonts w:hint="eastAsia"/>
              </w:rPr>
              <w:t>以整合</w:t>
            </w:r>
            <w:r>
              <w:rPr>
                <w:rFonts w:hint="eastAsia"/>
              </w:rPr>
              <w:t>围绕埃博拉的</w:t>
            </w:r>
            <w:r w:rsidR="00563079">
              <w:rPr>
                <w:rFonts w:hint="eastAsia"/>
              </w:rPr>
              <w:t>信息</w:t>
            </w:r>
            <w:r>
              <w:rPr>
                <w:rFonts w:hint="eastAsia"/>
              </w:rPr>
              <w:t>，确保各成员知晓最新的</w:t>
            </w:r>
            <w:r>
              <w:rPr>
                <w:rFonts w:hint="eastAsia"/>
              </w:rPr>
              <w:t>CDC</w:t>
            </w:r>
            <w:r>
              <w:rPr>
                <w:rFonts w:hint="eastAsia"/>
              </w:rPr>
              <w:t>埃博拉指南。</w:t>
            </w:r>
          </w:p>
        </w:tc>
        <w:tc>
          <w:tcPr>
            <w:tcW w:w="992" w:type="dxa"/>
          </w:tcPr>
          <w:p w:rsidR="00746101" w:rsidRDefault="00746101" w:rsidP="00D31965"/>
        </w:tc>
        <w:tc>
          <w:tcPr>
            <w:tcW w:w="901" w:type="dxa"/>
          </w:tcPr>
          <w:p w:rsidR="00746101" w:rsidRDefault="00746101" w:rsidP="00D31965"/>
        </w:tc>
      </w:tr>
      <w:tr w:rsidR="00746101" w:rsidTr="00D31965">
        <w:tc>
          <w:tcPr>
            <w:tcW w:w="6629" w:type="dxa"/>
          </w:tcPr>
          <w:p w:rsidR="00CC3C2F" w:rsidRDefault="00862AD5">
            <w:r>
              <w:rPr>
                <w:rFonts w:hint="eastAsia"/>
              </w:rPr>
              <w:t>要求卫生部门分享感染控制和病例管理</w:t>
            </w:r>
            <w:r w:rsidR="00F33F52">
              <w:rPr>
                <w:rFonts w:hint="eastAsia"/>
              </w:rPr>
              <w:t>方面</w:t>
            </w:r>
            <w:r>
              <w:rPr>
                <w:rFonts w:hint="eastAsia"/>
              </w:rPr>
              <w:t>的最新指南。</w:t>
            </w:r>
          </w:p>
        </w:tc>
        <w:tc>
          <w:tcPr>
            <w:tcW w:w="992" w:type="dxa"/>
          </w:tcPr>
          <w:p w:rsidR="00746101" w:rsidRDefault="00746101" w:rsidP="00D31965"/>
        </w:tc>
        <w:tc>
          <w:tcPr>
            <w:tcW w:w="901" w:type="dxa"/>
          </w:tcPr>
          <w:p w:rsidR="00746101" w:rsidRDefault="00746101" w:rsidP="00D31965"/>
        </w:tc>
      </w:tr>
      <w:tr w:rsidR="00746101" w:rsidTr="00D31965">
        <w:tc>
          <w:tcPr>
            <w:tcW w:w="6629" w:type="dxa"/>
          </w:tcPr>
          <w:p w:rsidR="00CC3C2F" w:rsidRDefault="00862AD5">
            <w:r>
              <w:rPr>
                <w:rFonts w:hint="eastAsia"/>
              </w:rPr>
              <w:t>分享最佳实践和信息，使各成员能够在检测方面</w:t>
            </w:r>
            <w:r w:rsidR="00F33F52">
              <w:rPr>
                <w:rFonts w:hint="eastAsia"/>
              </w:rPr>
              <w:t>互助</w:t>
            </w:r>
            <w:r>
              <w:rPr>
                <w:rFonts w:hint="eastAsia"/>
              </w:rPr>
              <w:t>。</w:t>
            </w:r>
          </w:p>
        </w:tc>
        <w:tc>
          <w:tcPr>
            <w:tcW w:w="992" w:type="dxa"/>
          </w:tcPr>
          <w:p w:rsidR="00746101" w:rsidRDefault="00746101" w:rsidP="00D31965"/>
        </w:tc>
        <w:tc>
          <w:tcPr>
            <w:tcW w:w="901" w:type="dxa"/>
          </w:tcPr>
          <w:p w:rsidR="00746101" w:rsidRDefault="00746101" w:rsidP="00D31965"/>
        </w:tc>
      </w:tr>
    </w:tbl>
    <w:p w:rsidR="00D31965" w:rsidRPr="00070839" w:rsidRDefault="00D31965" w:rsidP="00D31965">
      <w:pPr>
        <w:rPr>
          <w:b/>
        </w:rPr>
      </w:pPr>
    </w:p>
    <w:p w:rsidR="00D31965" w:rsidRPr="00070839" w:rsidRDefault="00F33F52" w:rsidP="00ED51F7">
      <w:pPr>
        <w:jc w:val="center"/>
        <w:rPr>
          <w:b/>
        </w:rPr>
      </w:pPr>
      <w:r>
        <w:rPr>
          <w:rFonts w:hint="eastAsia"/>
          <w:b/>
        </w:rPr>
        <w:t>对</w:t>
      </w:r>
      <w:r w:rsidR="00ED51F7" w:rsidRPr="00070839">
        <w:rPr>
          <w:rFonts w:hint="eastAsia"/>
          <w:b/>
        </w:rPr>
        <w:t>保护</w:t>
      </w:r>
      <w:r>
        <w:rPr>
          <w:rFonts w:hint="eastAsia"/>
          <w:b/>
        </w:rPr>
        <w:t>进行</w:t>
      </w:r>
      <w:r w:rsidR="00ED51F7" w:rsidRPr="00070839">
        <w:rPr>
          <w:rFonts w:hint="eastAsia"/>
          <w:b/>
        </w:rPr>
        <w:t>准备</w:t>
      </w:r>
    </w:p>
    <w:tbl>
      <w:tblPr>
        <w:tblStyle w:val="a7"/>
        <w:tblW w:w="0" w:type="auto"/>
        <w:tblLook w:val="04A0"/>
      </w:tblPr>
      <w:tblGrid>
        <w:gridCol w:w="6629"/>
        <w:gridCol w:w="992"/>
        <w:gridCol w:w="901"/>
      </w:tblGrid>
      <w:tr w:rsidR="00ED51F7" w:rsidTr="004D0E30">
        <w:tc>
          <w:tcPr>
            <w:tcW w:w="6629" w:type="dxa"/>
          </w:tcPr>
          <w:p w:rsidR="00ED51F7" w:rsidRDefault="00ED51F7" w:rsidP="004D0E30">
            <w:r>
              <w:rPr>
                <w:rFonts w:hint="eastAsia"/>
              </w:rPr>
              <w:t>确定联盟是否承担以下责任：</w:t>
            </w:r>
          </w:p>
        </w:tc>
        <w:tc>
          <w:tcPr>
            <w:tcW w:w="992" w:type="dxa"/>
          </w:tcPr>
          <w:p w:rsidR="00ED51F7" w:rsidRDefault="00ED51F7" w:rsidP="004D0E30">
            <w:r>
              <w:rPr>
                <w:rFonts w:hint="eastAsia"/>
              </w:rPr>
              <w:t>是</w:t>
            </w:r>
          </w:p>
        </w:tc>
        <w:tc>
          <w:tcPr>
            <w:tcW w:w="901" w:type="dxa"/>
          </w:tcPr>
          <w:p w:rsidR="00ED51F7" w:rsidRDefault="00ED51F7" w:rsidP="004D0E30">
            <w:r>
              <w:rPr>
                <w:rFonts w:hint="eastAsia"/>
              </w:rPr>
              <w:t>否</w:t>
            </w:r>
          </w:p>
        </w:tc>
      </w:tr>
      <w:tr w:rsidR="00ED51F7" w:rsidTr="004D0E30">
        <w:tc>
          <w:tcPr>
            <w:tcW w:w="6629" w:type="dxa"/>
          </w:tcPr>
          <w:p w:rsidR="00CC3C2F" w:rsidRDefault="00ED51F7">
            <w:r>
              <w:rPr>
                <w:rFonts w:hint="eastAsia"/>
              </w:rPr>
              <w:t>制定一项方案，供协调潜在埃博拉疫情期间的</w:t>
            </w:r>
            <w:r w:rsidR="00E12F71">
              <w:rPr>
                <w:rFonts w:hint="eastAsia"/>
              </w:rPr>
              <w:t>态势感知</w:t>
            </w:r>
            <w:r>
              <w:rPr>
                <w:rFonts w:hint="eastAsia"/>
              </w:rPr>
              <w:t>活动。</w:t>
            </w:r>
          </w:p>
        </w:tc>
        <w:tc>
          <w:tcPr>
            <w:tcW w:w="992" w:type="dxa"/>
          </w:tcPr>
          <w:p w:rsidR="00ED51F7" w:rsidRPr="00ED51F7" w:rsidRDefault="00ED51F7" w:rsidP="004D0E30"/>
        </w:tc>
        <w:tc>
          <w:tcPr>
            <w:tcW w:w="901" w:type="dxa"/>
          </w:tcPr>
          <w:p w:rsidR="00ED51F7" w:rsidRDefault="00ED51F7" w:rsidP="004D0E30"/>
        </w:tc>
      </w:tr>
      <w:tr w:rsidR="00ED51F7" w:rsidRPr="00ED51F7" w:rsidTr="004D0E30">
        <w:tc>
          <w:tcPr>
            <w:tcW w:w="6629" w:type="dxa"/>
          </w:tcPr>
          <w:p w:rsidR="00CC3C2F" w:rsidRDefault="008D6B63">
            <w:r>
              <w:rPr>
                <w:rFonts w:hint="eastAsia"/>
              </w:rPr>
              <w:t>在</w:t>
            </w:r>
            <w:r w:rsidR="00ED51F7">
              <w:rPr>
                <w:rFonts w:hint="eastAsia"/>
              </w:rPr>
              <w:t>所有成员</w:t>
            </w:r>
            <w:r>
              <w:rPr>
                <w:rFonts w:hint="eastAsia"/>
              </w:rPr>
              <w:t>中促进</w:t>
            </w:r>
            <w:r w:rsidR="00952EFB">
              <w:rPr>
                <w:rFonts w:hint="eastAsia"/>
              </w:rPr>
              <w:t>废弃物</w:t>
            </w:r>
            <w:r>
              <w:rPr>
                <w:rFonts w:hint="eastAsia"/>
              </w:rPr>
              <w:t>管理和危险材料收集</w:t>
            </w:r>
            <w:r w:rsidR="00ED51F7">
              <w:rPr>
                <w:rFonts w:hint="eastAsia"/>
              </w:rPr>
              <w:t>的</w:t>
            </w:r>
            <w:r>
              <w:rPr>
                <w:rFonts w:hint="eastAsia"/>
              </w:rPr>
              <w:t>一致</w:t>
            </w:r>
            <w:r w:rsidR="00ED51F7">
              <w:rPr>
                <w:rFonts w:hint="eastAsia"/>
              </w:rPr>
              <w:t>方案。</w:t>
            </w:r>
          </w:p>
        </w:tc>
        <w:tc>
          <w:tcPr>
            <w:tcW w:w="992" w:type="dxa"/>
          </w:tcPr>
          <w:p w:rsidR="00ED51F7" w:rsidRPr="00ED51F7" w:rsidRDefault="00ED51F7" w:rsidP="004D0E30"/>
        </w:tc>
        <w:tc>
          <w:tcPr>
            <w:tcW w:w="901" w:type="dxa"/>
          </w:tcPr>
          <w:p w:rsidR="00ED51F7" w:rsidRDefault="00ED51F7" w:rsidP="004D0E30"/>
        </w:tc>
      </w:tr>
      <w:tr w:rsidR="00ED51F7" w:rsidRPr="00ED51F7" w:rsidTr="004D0E30">
        <w:tc>
          <w:tcPr>
            <w:tcW w:w="6629" w:type="dxa"/>
          </w:tcPr>
          <w:p w:rsidR="00000000" w:rsidRDefault="00ED51F7">
            <w:r>
              <w:rPr>
                <w:rFonts w:hint="eastAsia"/>
              </w:rPr>
              <w:t>鼓励各成员间实验室工作人员处理病原体的一致。</w:t>
            </w:r>
          </w:p>
        </w:tc>
        <w:tc>
          <w:tcPr>
            <w:tcW w:w="992" w:type="dxa"/>
          </w:tcPr>
          <w:p w:rsidR="00ED51F7" w:rsidRPr="00ED51F7" w:rsidRDefault="00ED51F7" w:rsidP="004D0E30"/>
        </w:tc>
        <w:tc>
          <w:tcPr>
            <w:tcW w:w="901" w:type="dxa"/>
          </w:tcPr>
          <w:p w:rsidR="00ED51F7" w:rsidRDefault="00ED51F7" w:rsidP="004D0E30"/>
        </w:tc>
      </w:tr>
      <w:tr w:rsidR="00ED51F7" w:rsidRPr="00ED51F7" w:rsidTr="004D0E30">
        <w:tc>
          <w:tcPr>
            <w:tcW w:w="6629" w:type="dxa"/>
          </w:tcPr>
          <w:p w:rsidR="00000000" w:rsidRDefault="00ED51F7">
            <w:r>
              <w:rPr>
                <w:rFonts w:hint="eastAsia"/>
              </w:rPr>
              <w:t>倡导所有成员在人力资源指南和政策方面的一致（如：旅行、休假、自我健康</w:t>
            </w:r>
            <w:r w:rsidR="00B3163D">
              <w:rPr>
                <w:rFonts w:hint="eastAsia"/>
              </w:rPr>
              <w:t>排查</w:t>
            </w:r>
            <w:r>
              <w:rPr>
                <w:rFonts w:hint="eastAsia"/>
              </w:rPr>
              <w:t>）。</w:t>
            </w:r>
          </w:p>
        </w:tc>
        <w:tc>
          <w:tcPr>
            <w:tcW w:w="992" w:type="dxa"/>
          </w:tcPr>
          <w:p w:rsidR="00ED51F7" w:rsidRPr="00ED51F7" w:rsidRDefault="00ED51F7" w:rsidP="004D0E30"/>
        </w:tc>
        <w:tc>
          <w:tcPr>
            <w:tcW w:w="901" w:type="dxa"/>
          </w:tcPr>
          <w:p w:rsidR="00ED51F7" w:rsidRDefault="00ED51F7" w:rsidP="004D0E30"/>
        </w:tc>
      </w:tr>
      <w:tr w:rsidR="00ED51F7" w:rsidRPr="00ED51F7" w:rsidTr="004D0E30">
        <w:tc>
          <w:tcPr>
            <w:tcW w:w="6629" w:type="dxa"/>
          </w:tcPr>
          <w:p w:rsidR="00CC3C2F" w:rsidRDefault="009B67F2">
            <w:r>
              <w:rPr>
                <w:rFonts w:hint="eastAsia"/>
              </w:rPr>
              <w:t>创建或更新实时</w:t>
            </w:r>
            <w:r w:rsidR="00F6207D">
              <w:rPr>
                <w:rFonts w:hint="eastAsia"/>
              </w:rPr>
              <w:t>综合库存</w:t>
            </w:r>
            <w:r>
              <w:rPr>
                <w:rFonts w:hint="eastAsia"/>
              </w:rPr>
              <w:t>管理系统，以帮助追踪可用的资源和</w:t>
            </w:r>
            <w:r w:rsidR="00A353CD">
              <w:rPr>
                <w:rFonts w:hint="eastAsia"/>
              </w:rPr>
              <w:t>PPE</w:t>
            </w:r>
            <w:r>
              <w:rPr>
                <w:rFonts w:hint="eastAsia"/>
              </w:rPr>
              <w:t>。</w:t>
            </w:r>
          </w:p>
        </w:tc>
        <w:tc>
          <w:tcPr>
            <w:tcW w:w="992" w:type="dxa"/>
          </w:tcPr>
          <w:p w:rsidR="00ED51F7" w:rsidRPr="00ED51F7" w:rsidRDefault="00ED51F7" w:rsidP="004D0E30"/>
        </w:tc>
        <w:tc>
          <w:tcPr>
            <w:tcW w:w="901" w:type="dxa"/>
          </w:tcPr>
          <w:p w:rsidR="00ED51F7" w:rsidRDefault="00ED51F7" w:rsidP="004D0E30"/>
        </w:tc>
      </w:tr>
      <w:tr w:rsidR="00C60A3D" w:rsidRPr="00ED51F7" w:rsidTr="004D0E30">
        <w:tc>
          <w:tcPr>
            <w:tcW w:w="6629" w:type="dxa"/>
          </w:tcPr>
          <w:p w:rsidR="00CC3C2F" w:rsidRDefault="009B67F2">
            <w:r>
              <w:rPr>
                <w:rFonts w:hint="eastAsia"/>
              </w:rPr>
              <w:t>更新联盟中各机构</w:t>
            </w:r>
            <w:r w:rsidR="00A353CD">
              <w:rPr>
                <w:rFonts w:hint="eastAsia"/>
              </w:rPr>
              <w:t>的</w:t>
            </w:r>
            <w:r>
              <w:rPr>
                <w:rFonts w:hint="eastAsia"/>
              </w:rPr>
              <w:t>感染控制能力的资源评估。</w:t>
            </w:r>
          </w:p>
        </w:tc>
        <w:tc>
          <w:tcPr>
            <w:tcW w:w="992" w:type="dxa"/>
          </w:tcPr>
          <w:p w:rsidR="00C60A3D" w:rsidRPr="00ED51F7" w:rsidRDefault="00C60A3D" w:rsidP="004D0E30"/>
        </w:tc>
        <w:tc>
          <w:tcPr>
            <w:tcW w:w="901" w:type="dxa"/>
          </w:tcPr>
          <w:p w:rsidR="00C60A3D" w:rsidRDefault="00C60A3D" w:rsidP="004D0E30"/>
        </w:tc>
      </w:tr>
      <w:tr w:rsidR="00C60A3D" w:rsidRPr="00ED51F7" w:rsidTr="004D0E30">
        <w:tc>
          <w:tcPr>
            <w:tcW w:w="6629" w:type="dxa"/>
          </w:tcPr>
          <w:p w:rsidR="00C60A3D" w:rsidRPr="009B67F2" w:rsidRDefault="00BB5130" w:rsidP="004D0E30">
            <w:r>
              <w:rPr>
                <w:rFonts w:hint="eastAsia"/>
              </w:rPr>
              <w:t>回顾</w:t>
            </w:r>
            <w:r w:rsidR="009B67F2">
              <w:rPr>
                <w:rFonts w:hint="eastAsia"/>
              </w:rPr>
              <w:t>和讨论所在社区处理埃博拉病例的方案。</w:t>
            </w:r>
          </w:p>
        </w:tc>
        <w:tc>
          <w:tcPr>
            <w:tcW w:w="992" w:type="dxa"/>
          </w:tcPr>
          <w:p w:rsidR="00C60A3D" w:rsidRPr="00ED51F7" w:rsidRDefault="00C60A3D" w:rsidP="004D0E30"/>
        </w:tc>
        <w:tc>
          <w:tcPr>
            <w:tcW w:w="901" w:type="dxa"/>
          </w:tcPr>
          <w:p w:rsidR="00C60A3D" w:rsidRDefault="00C60A3D" w:rsidP="004D0E30"/>
        </w:tc>
      </w:tr>
      <w:tr w:rsidR="00ED51F7" w:rsidRPr="00ED51F7" w:rsidTr="004D0E30">
        <w:tc>
          <w:tcPr>
            <w:tcW w:w="6629" w:type="dxa"/>
          </w:tcPr>
          <w:p w:rsidR="00ED51F7" w:rsidRPr="009B67F2" w:rsidRDefault="00BB5130" w:rsidP="004D0E30">
            <w:r>
              <w:rPr>
                <w:rFonts w:hint="eastAsia"/>
              </w:rPr>
              <w:t>回顾</w:t>
            </w:r>
            <w:r w:rsidR="009B67F2">
              <w:rPr>
                <w:rFonts w:hint="eastAsia"/>
              </w:rPr>
              <w:t>和讨论机构间患者转运的需求，并根据需要制定机构间</w:t>
            </w:r>
            <w:r>
              <w:rPr>
                <w:rFonts w:hint="eastAsia"/>
              </w:rPr>
              <w:t>的</w:t>
            </w:r>
            <w:r w:rsidR="009B67F2">
              <w:rPr>
                <w:rFonts w:hint="eastAsia"/>
              </w:rPr>
              <w:t>转运方案。</w:t>
            </w:r>
          </w:p>
        </w:tc>
        <w:tc>
          <w:tcPr>
            <w:tcW w:w="992" w:type="dxa"/>
          </w:tcPr>
          <w:p w:rsidR="00ED51F7" w:rsidRPr="00ED51F7" w:rsidRDefault="00ED51F7" w:rsidP="004D0E30"/>
        </w:tc>
        <w:tc>
          <w:tcPr>
            <w:tcW w:w="901" w:type="dxa"/>
          </w:tcPr>
          <w:p w:rsidR="00ED51F7" w:rsidRDefault="00ED51F7" w:rsidP="004D0E30"/>
        </w:tc>
      </w:tr>
      <w:tr w:rsidR="00ED51F7" w:rsidRPr="00ED51F7" w:rsidTr="004D0E30">
        <w:tc>
          <w:tcPr>
            <w:tcW w:w="6629" w:type="dxa"/>
          </w:tcPr>
          <w:p w:rsidR="00ED51F7" w:rsidRDefault="00DB195B" w:rsidP="004D0E30">
            <w:r>
              <w:rPr>
                <w:rFonts w:hint="eastAsia"/>
              </w:rPr>
              <w:t>在</w:t>
            </w:r>
            <w:r w:rsidR="002A7BD1">
              <w:rPr>
                <w:rFonts w:hint="eastAsia"/>
              </w:rPr>
              <w:t>成员</w:t>
            </w:r>
            <w:r>
              <w:rPr>
                <w:rFonts w:hint="eastAsia"/>
              </w:rPr>
              <w:t>间</w:t>
            </w:r>
            <w:r w:rsidR="002A7BD1">
              <w:rPr>
                <w:rFonts w:hint="eastAsia"/>
              </w:rPr>
              <w:t>通过协调</w:t>
            </w:r>
            <w:r w:rsidR="00C2490A">
              <w:rPr>
                <w:rFonts w:hint="eastAsia"/>
              </w:rPr>
              <w:t>促</w:t>
            </w:r>
            <w:r w:rsidR="002A7BD1">
              <w:rPr>
                <w:rFonts w:hint="eastAsia"/>
              </w:rPr>
              <w:t>成</w:t>
            </w:r>
            <w:r w:rsidR="00B56E61">
              <w:rPr>
                <w:rFonts w:hint="eastAsia"/>
              </w:rPr>
              <w:t>：</w:t>
            </w:r>
          </w:p>
          <w:p w:rsidR="00B56E61" w:rsidRDefault="00B56E61" w:rsidP="004D0E30">
            <w:r>
              <w:rPr>
                <w:rFonts w:hint="eastAsia"/>
              </w:rPr>
              <w:t>·让各成员机构参与</w:t>
            </w:r>
            <w:r w:rsidR="00BB5130">
              <w:rPr>
                <w:rFonts w:hint="eastAsia"/>
              </w:rPr>
              <w:t>回顾</w:t>
            </w:r>
            <w:r>
              <w:rPr>
                <w:rFonts w:hint="eastAsia"/>
              </w:rPr>
              <w:t>机构间转运患者的方案；</w:t>
            </w:r>
          </w:p>
          <w:p w:rsidR="00B56E61" w:rsidRDefault="00B56E61" w:rsidP="004D0E30">
            <w:r>
              <w:rPr>
                <w:rFonts w:hint="eastAsia"/>
              </w:rPr>
              <w:t>·</w:t>
            </w:r>
            <w:r w:rsidR="00440DD6">
              <w:rPr>
                <w:rFonts w:hint="eastAsia"/>
              </w:rPr>
              <w:t>回顾</w:t>
            </w:r>
            <w:r w:rsidR="002B5F8D">
              <w:rPr>
                <w:rFonts w:hint="eastAsia"/>
              </w:rPr>
              <w:t>感染性疾病程序和报告要求；</w:t>
            </w:r>
            <w:r>
              <w:rPr>
                <w:rFonts w:hint="eastAsia"/>
              </w:rPr>
              <w:t>和</w:t>
            </w:r>
          </w:p>
          <w:p w:rsidR="00CC3C2F" w:rsidRDefault="00B56E61">
            <w:r>
              <w:rPr>
                <w:rFonts w:hint="eastAsia"/>
              </w:rPr>
              <w:t>·</w:t>
            </w:r>
            <w:r w:rsidR="00440DD6">
              <w:rPr>
                <w:rFonts w:hint="eastAsia"/>
              </w:rPr>
              <w:t>回顾</w:t>
            </w:r>
            <w:r>
              <w:rPr>
                <w:rFonts w:hint="eastAsia"/>
              </w:rPr>
              <w:t>方案、协调和演习</w:t>
            </w:r>
            <w:r>
              <w:rPr>
                <w:rFonts w:hint="eastAsia"/>
              </w:rPr>
              <w:t>/</w:t>
            </w:r>
            <w:r>
              <w:rPr>
                <w:rFonts w:hint="eastAsia"/>
              </w:rPr>
              <w:t>测试关键利益相关者、联盟成员、公共卫生、</w:t>
            </w:r>
            <w:r w:rsidR="00C2490A">
              <w:rPr>
                <w:rFonts w:hint="eastAsia"/>
              </w:rPr>
              <w:t>应急</w:t>
            </w:r>
            <w:r>
              <w:rPr>
                <w:rFonts w:hint="eastAsia"/>
              </w:rPr>
              <w:t>管理等部门间分享相关卫生数据的能力。</w:t>
            </w:r>
          </w:p>
        </w:tc>
        <w:tc>
          <w:tcPr>
            <w:tcW w:w="992" w:type="dxa"/>
          </w:tcPr>
          <w:p w:rsidR="00ED51F7" w:rsidRPr="00ED51F7" w:rsidRDefault="00ED51F7" w:rsidP="004D0E30"/>
        </w:tc>
        <w:tc>
          <w:tcPr>
            <w:tcW w:w="901" w:type="dxa"/>
          </w:tcPr>
          <w:p w:rsidR="00ED51F7" w:rsidRDefault="00ED51F7" w:rsidP="004D0E30"/>
        </w:tc>
      </w:tr>
      <w:tr w:rsidR="00B56E61" w:rsidRPr="00ED51F7" w:rsidTr="004D0E30">
        <w:tc>
          <w:tcPr>
            <w:tcW w:w="6629" w:type="dxa"/>
          </w:tcPr>
          <w:p w:rsidR="00CC3C2F" w:rsidRDefault="00B56E61">
            <w:r>
              <w:rPr>
                <w:rFonts w:hint="eastAsia"/>
              </w:rPr>
              <w:t>分享最佳实践和信息，使各成员在保护方面</w:t>
            </w:r>
            <w:r w:rsidR="005F40CD">
              <w:rPr>
                <w:rFonts w:hint="eastAsia"/>
              </w:rPr>
              <w:t>互助</w:t>
            </w:r>
            <w:r>
              <w:rPr>
                <w:rFonts w:hint="eastAsia"/>
              </w:rPr>
              <w:t>。</w:t>
            </w:r>
          </w:p>
        </w:tc>
        <w:tc>
          <w:tcPr>
            <w:tcW w:w="992" w:type="dxa"/>
          </w:tcPr>
          <w:p w:rsidR="00B56E61" w:rsidRPr="00ED51F7" w:rsidRDefault="00B56E61" w:rsidP="004D0E30"/>
        </w:tc>
        <w:tc>
          <w:tcPr>
            <w:tcW w:w="901" w:type="dxa"/>
          </w:tcPr>
          <w:p w:rsidR="00B56E61" w:rsidRDefault="00B56E61" w:rsidP="004D0E30"/>
        </w:tc>
      </w:tr>
    </w:tbl>
    <w:p w:rsidR="00B14763" w:rsidRDefault="00B14763">
      <w:pPr>
        <w:widowControl/>
        <w:jc w:val="left"/>
      </w:pPr>
    </w:p>
    <w:p w:rsidR="00B56E61" w:rsidRPr="00070839" w:rsidRDefault="00E12F71" w:rsidP="002B5F8D">
      <w:pPr>
        <w:jc w:val="center"/>
        <w:rPr>
          <w:b/>
        </w:rPr>
      </w:pPr>
      <w:r>
        <w:rPr>
          <w:rFonts w:hint="eastAsia"/>
          <w:b/>
        </w:rPr>
        <w:t>对</w:t>
      </w:r>
      <w:r w:rsidR="002B5F8D" w:rsidRPr="00070839">
        <w:rPr>
          <w:rFonts w:hint="eastAsia"/>
          <w:b/>
        </w:rPr>
        <w:t>应对</w:t>
      </w:r>
      <w:r>
        <w:rPr>
          <w:rFonts w:hint="eastAsia"/>
          <w:b/>
        </w:rPr>
        <w:t>进行</w:t>
      </w:r>
      <w:r w:rsidR="002B5F8D" w:rsidRPr="00070839">
        <w:rPr>
          <w:rFonts w:hint="eastAsia"/>
          <w:b/>
        </w:rPr>
        <w:t>准备</w:t>
      </w:r>
    </w:p>
    <w:tbl>
      <w:tblPr>
        <w:tblStyle w:val="a7"/>
        <w:tblW w:w="0" w:type="auto"/>
        <w:tblLook w:val="04A0"/>
      </w:tblPr>
      <w:tblGrid>
        <w:gridCol w:w="6629"/>
        <w:gridCol w:w="992"/>
        <w:gridCol w:w="901"/>
      </w:tblGrid>
      <w:tr w:rsidR="002B5F8D" w:rsidTr="004D0E30">
        <w:tc>
          <w:tcPr>
            <w:tcW w:w="6629" w:type="dxa"/>
          </w:tcPr>
          <w:p w:rsidR="00CC3C2F" w:rsidRDefault="002B5F8D">
            <w:r>
              <w:rPr>
                <w:rFonts w:hint="eastAsia"/>
              </w:rPr>
              <w:t>确定联盟是否承担以下</w:t>
            </w:r>
            <w:r w:rsidR="00F33F52">
              <w:rPr>
                <w:rFonts w:hint="eastAsia"/>
              </w:rPr>
              <w:t>职责</w:t>
            </w:r>
            <w:r>
              <w:rPr>
                <w:rFonts w:hint="eastAsia"/>
              </w:rPr>
              <w:t>：</w:t>
            </w:r>
            <w:r w:rsidR="00E12F71">
              <w:t xml:space="preserve"> </w:t>
            </w:r>
          </w:p>
        </w:tc>
        <w:tc>
          <w:tcPr>
            <w:tcW w:w="992" w:type="dxa"/>
          </w:tcPr>
          <w:p w:rsidR="002B5F8D" w:rsidRDefault="002B5F8D" w:rsidP="004D0E30">
            <w:r>
              <w:rPr>
                <w:rFonts w:hint="eastAsia"/>
              </w:rPr>
              <w:t>是</w:t>
            </w:r>
          </w:p>
        </w:tc>
        <w:tc>
          <w:tcPr>
            <w:tcW w:w="901" w:type="dxa"/>
          </w:tcPr>
          <w:p w:rsidR="002B5F8D" w:rsidRDefault="002B5F8D" w:rsidP="004D0E30">
            <w:r>
              <w:rPr>
                <w:rFonts w:hint="eastAsia"/>
              </w:rPr>
              <w:t>否</w:t>
            </w:r>
          </w:p>
        </w:tc>
      </w:tr>
      <w:tr w:rsidR="002B5F8D" w:rsidTr="004D0E30">
        <w:tc>
          <w:tcPr>
            <w:tcW w:w="6629" w:type="dxa"/>
          </w:tcPr>
          <w:p w:rsidR="002B5F8D" w:rsidRDefault="00056C2D" w:rsidP="004D0E30">
            <w:r>
              <w:rPr>
                <w:rFonts w:hint="eastAsia"/>
              </w:rPr>
              <w:t>制定</w:t>
            </w:r>
            <w:r w:rsidR="002B5F8D">
              <w:rPr>
                <w:rFonts w:hint="eastAsia"/>
              </w:rPr>
              <w:t>和</w:t>
            </w:r>
            <w:r w:rsidR="002B5F8D">
              <w:rPr>
                <w:rFonts w:hint="eastAsia"/>
              </w:rPr>
              <w:t>/</w:t>
            </w:r>
            <w:r w:rsidR="002B5F8D">
              <w:rPr>
                <w:rFonts w:hint="eastAsia"/>
              </w:rPr>
              <w:t>或测试：</w:t>
            </w:r>
          </w:p>
          <w:p w:rsidR="002B5F8D" w:rsidRDefault="002B5F8D" w:rsidP="004D0E30">
            <w:r>
              <w:rPr>
                <w:rFonts w:hint="eastAsia"/>
              </w:rPr>
              <w:t>·应急功能；</w:t>
            </w:r>
          </w:p>
          <w:p w:rsidR="002B5F8D" w:rsidRDefault="002B5F8D" w:rsidP="004D0E30">
            <w:r>
              <w:rPr>
                <w:rFonts w:hint="eastAsia"/>
              </w:rPr>
              <w:t>·事件管理系统；和</w:t>
            </w:r>
          </w:p>
          <w:p w:rsidR="00CC3C2F" w:rsidRDefault="002B5F8D">
            <w:r>
              <w:rPr>
                <w:rFonts w:hint="eastAsia"/>
              </w:rPr>
              <w:t>·在各成员间及与</w:t>
            </w:r>
            <w:r w:rsidR="00253126">
              <w:rPr>
                <w:rFonts w:hint="eastAsia"/>
              </w:rPr>
              <w:t>地方</w:t>
            </w:r>
            <w:r>
              <w:rPr>
                <w:rFonts w:hint="eastAsia"/>
              </w:rPr>
              <w:t>和州公共卫生部门协调危机沟通。</w:t>
            </w:r>
          </w:p>
        </w:tc>
        <w:tc>
          <w:tcPr>
            <w:tcW w:w="992" w:type="dxa"/>
          </w:tcPr>
          <w:p w:rsidR="002B5F8D" w:rsidRDefault="002B5F8D" w:rsidP="004D0E30"/>
        </w:tc>
        <w:tc>
          <w:tcPr>
            <w:tcW w:w="901" w:type="dxa"/>
          </w:tcPr>
          <w:p w:rsidR="002B5F8D" w:rsidRDefault="002B5F8D" w:rsidP="004D0E30"/>
        </w:tc>
      </w:tr>
      <w:tr w:rsidR="002B5F8D" w:rsidTr="004D0E30">
        <w:tc>
          <w:tcPr>
            <w:tcW w:w="6629" w:type="dxa"/>
          </w:tcPr>
          <w:p w:rsidR="00CC3C2F" w:rsidRDefault="002B5F8D">
            <w:r>
              <w:rPr>
                <w:rFonts w:hint="eastAsia"/>
              </w:rPr>
              <w:lastRenderedPageBreak/>
              <w:t>分享最佳实践和信息，使各成员在应对方面</w:t>
            </w:r>
            <w:r w:rsidR="00056C2D">
              <w:rPr>
                <w:rFonts w:hint="eastAsia"/>
              </w:rPr>
              <w:t>互助</w:t>
            </w:r>
            <w:r>
              <w:rPr>
                <w:rFonts w:hint="eastAsia"/>
              </w:rPr>
              <w:t>。</w:t>
            </w:r>
          </w:p>
        </w:tc>
        <w:tc>
          <w:tcPr>
            <w:tcW w:w="992" w:type="dxa"/>
          </w:tcPr>
          <w:p w:rsidR="002B5F8D" w:rsidRDefault="002B5F8D" w:rsidP="004D0E30"/>
        </w:tc>
        <w:tc>
          <w:tcPr>
            <w:tcW w:w="901" w:type="dxa"/>
          </w:tcPr>
          <w:p w:rsidR="002B5F8D" w:rsidRDefault="002B5F8D" w:rsidP="004D0E30"/>
        </w:tc>
      </w:tr>
    </w:tbl>
    <w:p w:rsidR="002B5F8D" w:rsidRDefault="002B5F8D"/>
    <w:p w:rsidR="002B5F8D" w:rsidRPr="00070839" w:rsidRDefault="002B5F8D" w:rsidP="00070839">
      <w:pPr>
        <w:spacing w:after="100" w:afterAutospacing="1"/>
        <w:rPr>
          <w:b/>
        </w:rPr>
      </w:pPr>
      <w:r w:rsidRPr="00070839">
        <w:rPr>
          <w:rFonts w:hint="eastAsia"/>
          <w:b/>
        </w:rPr>
        <w:t>快速资源清单</w:t>
      </w:r>
    </w:p>
    <w:p w:rsidR="002B5F8D" w:rsidRDefault="002A7BD1" w:rsidP="00070839">
      <w:pPr>
        <w:spacing w:after="100" w:afterAutospacing="1"/>
      </w:pPr>
      <w:r>
        <w:rPr>
          <w:rFonts w:hint="eastAsia"/>
        </w:rPr>
        <w:t>CDC</w:t>
      </w:r>
      <w:r w:rsidR="002B5F8D">
        <w:rPr>
          <w:rFonts w:hint="eastAsia"/>
        </w:rPr>
        <w:t>已制作</w:t>
      </w:r>
      <w:r w:rsidR="00B17427">
        <w:rPr>
          <w:rFonts w:hint="eastAsia"/>
        </w:rPr>
        <w:t>数种</w:t>
      </w:r>
      <w:r w:rsidR="002B5F8D">
        <w:rPr>
          <w:rFonts w:hint="eastAsia"/>
        </w:rPr>
        <w:t>资源和参考文献，以帮助您作好准备工作，</w:t>
      </w:r>
      <w:r w:rsidR="00B17427">
        <w:rPr>
          <w:rFonts w:hint="eastAsia"/>
        </w:rPr>
        <w:t>并且</w:t>
      </w:r>
      <w:r w:rsidR="002B5F8D">
        <w:rPr>
          <w:rFonts w:hint="eastAsia"/>
        </w:rPr>
        <w:t>还有更多的资源正在开发中。随着专家掌握更多的埃博拉信息，这些信息和指南可能会发生变更。应经常浏览</w:t>
      </w:r>
      <w:hyperlink r:id="rId10" w:history="1">
        <w:r w:rsidR="00CC3C2F" w:rsidRPr="00CC3C2F">
          <w:rPr>
            <w:rStyle w:val="a5"/>
          </w:rPr>
          <w:t>CDC</w:t>
        </w:r>
        <w:r w:rsidR="00CC3C2F" w:rsidRPr="00CC3C2F">
          <w:rPr>
            <w:rStyle w:val="a5"/>
            <w:rFonts w:hint="eastAsia"/>
          </w:rPr>
          <w:t>的埃博拉主页</w:t>
        </w:r>
      </w:hyperlink>
      <w:r w:rsidR="002B5F8D">
        <w:rPr>
          <w:rFonts w:hint="eastAsia"/>
        </w:rPr>
        <w:t>，</w:t>
      </w:r>
      <w:r w:rsidR="00B17427">
        <w:rPr>
          <w:rFonts w:hint="eastAsia"/>
        </w:rPr>
        <w:t>查阅</w:t>
      </w:r>
      <w:r w:rsidR="002B5F8D">
        <w:rPr>
          <w:rFonts w:hint="eastAsia"/>
        </w:rPr>
        <w:t>适用于以下人员的</w:t>
      </w:r>
      <w:r w:rsidR="002B5F8D">
        <w:rPr>
          <w:rFonts w:hint="eastAsia"/>
        </w:rPr>
        <w:t>CDC</w:t>
      </w:r>
      <w:r w:rsidR="002B5F8D">
        <w:rPr>
          <w:rFonts w:hint="eastAsia"/>
        </w:rPr>
        <w:t>埃博拉应对指南</w:t>
      </w:r>
      <w:r w:rsidR="00B17427">
        <w:rPr>
          <w:rFonts w:hint="eastAsia"/>
        </w:rPr>
        <w:t>清单</w:t>
      </w:r>
      <w:r w:rsidR="002B5F8D">
        <w:rPr>
          <w:rFonts w:hint="eastAsia"/>
        </w:rPr>
        <w:t>：</w:t>
      </w:r>
    </w:p>
    <w:p w:rsidR="002B5F8D" w:rsidRPr="00377BA9" w:rsidRDefault="00CC3C2F" w:rsidP="00070839">
      <w:pPr>
        <w:pStyle w:val="a6"/>
        <w:numPr>
          <w:ilvl w:val="0"/>
          <w:numId w:val="1"/>
        </w:numPr>
        <w:spacing w:after="100" w:afterAutospacing="1"/>
        <w:ind w:firstLineChars="0"/>
        <w:rPr>
          <w:u w:val="single"/>
        </w:rPr>
      </w:pPr>
      <w:hyperlink r:id="rId11" w:history="1">
        <w:r w:rsidRPr="00CC3C2F">
          <w:rPr>
            <w:rStyle w:val="a5"/>
            <w:rFonts w:hint="eastAsia"/>
          </w:rPr>
          <w:t>临床医师和医护工作者</w:t>
        </w:r>
      </w:hyperlink>
    </w:p>
    <w:p w:rsidR="002B5F8D" w:rsidRDefault="002B5F8D" w:rsidP="00070839">
      <w:pPr>
        <w:pStyle w:val="a6"/>
        <w:numPr>
          <w:ilvl w:val="0"/>
          <w:numId w:val="1"/>
        </w:numPr>
        <w:spacing w:after="100" w:afterAutospacing="1"/>
        <w:ind w:firstLineChars="0"/>
      </w:pPr>
      <w:r>
        <w:rPr>
          <w:rFonts w:hint="eastAsia"/>
        </w:rPr>
        <w:t>医疗机构信息：</w:t>
      </w:r>
      <w:hyperlink r:id="rId12" w:history="1">
        <w:r w:rsidR="00CC3C2F" w:rsidRPr="00CC3C2F">
          <w:rPr>
            <w:rStyle w:val="a5"/>
            <w:rFonts w:hint="eastAsia"/>
          </w:rPr>
          <w:t>医院</w:t>
        </w:r>
      </w:hyperlink>
      <w:r>
        <w:rPr>
          <w:rFonts w:hint="eastAsia"/>
        </w:rPr>
        <w:t>和</w:t>
      </w:r>
      <w:hyperlink r:id="rId13" w:history="1">
        <w:r w:rsidR="00CC3C2F" w:rsidRPr="00CC3C2F">
          <w:rPr>
            <w:rStyle w:val="a5"/>
            <w:rFonts w:hint="eastAsia"/>
          </w:rPr>
          <w:t>医疗机构</w:t>
        </w:r>
      </w:hyperlink>
    </w:p>
    <w:p w:rsidR="002B5F8D" w:rsidRDefault="002B5F8D" w:rsidP="00070839">
      <w:pPr>
        <w:spacing w:after="100" w:afterAutospacing="1"/>
      </w:pPr>
      <w:r>
        <w:rPr>
          <w:rFonts w:hint="eastAsia"/>
        </w:rPr>
        <w:t>请及时了解！以下</w:t>
      </w:r>
      <w:r w:rsidR="00ED2764">
        <w:rPr>
          <w:rFonts w:hint="eastAsia"/>
        </w:rPr>
        <w:t>信息</w:t>
      </w:r>
      <w:r>
        <w:rPr>
          <w:rFonts w:hint="eastAsia"/>
        </w:rPr>
        <w:t>源（有些可能需要订阅）</w:t>
      </w:r>
      <w:r w:rsidR="00EE30FF">
        <w:rPr>
          <w:rFonts w:hint="eastAsia"/>
        </w:rPr>
        <w:t>可接收关于埃博拉的最新信息：</w:t>
      </w:r>
    </w:p>
    <w:p w:rsidR="00EE30FF" w:rsidRDefault="00EE30FF" w:rsidP="00070839">
      <w:pPr>
        <w:pStyle w:val="a6"/>
        <w:numPr>
          <w:ilvl w:val="0"/>
          <w:numId w:val="1"/>
        </w:numPr>
        <w:spacing w:after="100" w:afterAutospacing="1"/>
        <w:ind w:firstLineChars="0"/>
      </w:pPr>
      <w:r>
        <w:rPr>
          <w:rFonts w:hint="eastAsia"/>
        </w:rPr>
        <w:t>CDC</w:t>
      </w:r>
      <w:hyperlink r:id="rId14" w:history="1">
        <w:r w:rsidRPr="00377BA9">
          <w:rPr>
            <w:rStyle w:val="a5"/>
            <w:rFonts w:hint="eastAsia"/>
          </w:rPr>
          <w:t>健康预警网络（</w:t>
        </w:r>
        <w:r w:rsidRPr="00377BA9">
          <w:rPr>
            <w:rStyle w:val="a5"/>
            <w:rFonts w:hint="eastAsia"/>
          </w:rPr>
          <w:t>HAN</w:t>
        </w:r>
        <w:r w:rsidRPr="00377BA9">
          <w:rPr>
            <w:rStyle w:val="a5"/>
            <w:rFonts w:hint="eastAsia"/>
          </w:rPr>
          <w:t>）</w:t>
        </w:r>
      </w:hyperlink>
    </w:p>
    <w:p w:rsidR="00EE30FF" w:rsidRDefault="00EE30FF" w:rsidP="00070839">
      <w:pPr>
        <w:pStyle w:val="a6"/>
        <w:numPr>
          <w:ilvl w:val="0"/>
          <w:numId w:val="1"/>
        </w:numPr>
        <w:spacing w:after="100" w:afterAutospacing="1"/>
        <w:ind w:firstLineChars="0"/>
      </w:pPr>
      <w:r>
        <w:rPr>
          <w:rFonts w:hint="eastAsia"/>
        </w:rPr>
        <w:t>CDC</w:t>
      </w:r>
      <w:hyperlink r:id="rId15" w:history="1">
        <w:r w:rsidRPr="00377BA9">
          <w:rPr>
            <w:rStyle w:val="a5"/>
            <w:rFonts w:hint="eastAsia"/>
          </w:rPr>
          <w:t>临床医师</w:t>
        </w:r>
        <w:r w:rsidR="00957A27" w:rsidRPr="00377BA9">
          <w:rPr>
            <w:rStyle w:val="a5"/>
            <w:rFonts w:hint="eastAsia"/>
          </w:rPr>
          <w:t>外展和交流</w:t>
        </w:r>
        <w:r w:rsidRPr="00377BA9">
          <w:rPr>
            <w:rStyle w:val="a5"/>
            <w:rFonts w:hint="eastAsia"/>
          </w:rPr>
          <w:t>活动（</w:t>
        </w:r>
        <w:r w:rsidRPr="00377BA9">
          <w:rPr>
            <w:rStyle w:val="a5"/>
            <w:rFonts w:hint="eastAsia"/>
          </w:rPr>
          <w:t>COCA</w:t>
        </w:r>
        <w:r w:rsidRPr="00377BA9">
          <w:rPr>
            <w:rStyle w:val="a5"/>
            <w:rFonts w:hint="eastAsia"/>
          </w:rPr>
          <w:t>）</w:t>
        </w:r>
      </w:hyperlink>
    </w:p>
    <w:p w:rsidR="00EE30FF" w:rsidRDefault="00957A27" w:rsidP="00070839">
      <w:pPr>
        <w:pStyle w:val="a6"/>
        <w:numPr>
          <w:ilvl w:val="0"/>
          <w:numId w:val="1"/>
        </w:numPr>
        <w:spacing w:after="100" w:afterAutospacing="1"/>
        <w:ind w:firstLineChars="0"/>
      </w:pPr>
      <w:r>
        <w:rPr>
          <w:rFonts w:hint="eastAsia"/>
        </w:rPr>
        <w:t>CDC</w:t>
      </w:r>
      <w:hyperlink r:id="rId16" w:history="1">
        <w:r w:rsidRPr="00377BA9">
          <w:rPr>
            <w:rStyle w:val="a5"/>
            <w:rFonts w:hint="eastAsia"/>
          </w:rPr>
          <w:t>国家职业安全与健康研究所</w:t>
        </w:r>
      </w:hyperlink>
    </w:p>
    <w:p w:rsidR="00957A27" w:rsidRDefault="00957A27" w:rsidP="00070839">
      <w:pPr>
        <w:pStyle w:val="a6"/>
        <w:numPr>
          <w:ilvl w:val="0"/>
          <w:numId w:val="1"/>
        </w:numPr>
        <w:spacing w:after="100" w:afterAutospacing="1"/>
        <w:ind w:firstLineChars="0"/>
      </w:pPr>
      <w:r>
        <w:rPr>
          <w:rFonts w:hint="eastAsia"/>
        </w:rPr>
        <w:t>美国劳工部</w:t>
      </w:r>
      <w:hyperlink r:id="rId17" w:history="1">
        <w:r w:rsidRPr="00381D37">
          <w:rPr>
            <w:rStyle w:val="a5"/>
            <w:rFonts w:hint="eastAsia"/>
          </w:rPr>
          <w:t>职业安全与健康管理局新闻简报</w:t>
        </w:r>
      </w:hyperlink>
    </w:p>
    <w:p w:rsidR="00957A27" w:rsidRDefault="00957A27" w:rsidP="00070839">
      <w:pPr>
        <w:spacing w:after="100" w:afterAutospacing="1"/>
      </w:pPr>
      <w:r>
        <w:rPr>
          <w:rFonts w:hint="eastAsia"/>
        </w:rPr>
        <w:t>以下是一些与医疗</w:t>
      </w:r>
      <w:r w:rsidR="00381D37">
        <w:rPr>
          <w:rFonts w:hint="eastAsia"/>
        </w:rPr>
        <w:t>准备</w:t>
      </w:r>
      <w:r>
        <w:rPr>
          <w:rFonts w:hint="eastAsia"/>
        </w:rPr>
        <w:t>最相关的资源：</w:t>
      </w:r>
    </w:p>
    <w:p w:rsidR="00957A27" w:rsidRDefault="00CC3C2F" w:rsidP="00070839">
      <w:pPr>
        <w:pStyle w:val="a6"/>
        <w:numPr>
          <w:ilvl w:val="0"/>
          <w:numId w:val="1"/>
        </w:numPr>
        <w:spacing w:after="100" w:afterAutospacing="1"/>
        <w:ind w:firstLineChars="0"/>
      </w:pPr>
      <w:hyperlink r:id="rId18" w:history="1">
        <w:r w:rsidR="00957A27" w:rsidRPr="00381D37">
          <w:rPr>
            <w:rStyle w:val="a5"/>
            <w:rFonts w:hint="eastAsia"/>
          </w:rPr>
          <w:t>面向美国医疗机构临床医师的埃博拉病毒病信息</w:t>
        </w:r>
      </w:hyperlink>
    </w:p>
    <w:p w:rsidR="00957A27" w:rsidRDefault="00CC3C2F" w:rsidP="00070839">
      <w:pPr>
        <w:pStyle w:val="a6"/>
        <w:numPr>
          <w:ilvl w:val="0"/>
          <w:numId w:val="1"/>
        </w:numPr>
        <w:spacing w:after="100" w:afterAutospacing="1"/>
        <w:ind w:firstLineChars="0"/>
      </w:pPr>
      <w:hyperlink r:id="rId19" w:history="1">
        <w:r w:rsidR="00957A27" w:rsidRPr="00381D37">
          <w:rPr>
            <w:rStyle w:val="a5"/>
            <w:rFonts w:hint="eastAsia"/>
          </w:rPr>
          <w:t>埃博拉病毒病病例定义</w:t>
        </w:r>
      </w:hyperlink>
      <w:r w:rsidR="00957A27">
        <w:rPr>
          <w:rFonts w:hint="eastAsia"/>
        </w:rPr>
        <w:t>。该病例定义用于</w:t>
      </w:r>
      <w:r w:rsidR="00021E20">
        <w:rPr>
          <w:rFonts w:hint="eastAsia"/>
        </w:rPr>
        <w:t>筛查</w:t>
      </w:r>
      <w:r w:rsidR="00957A27">
        <w:rPr>
          <w:rFonts w:hint="eastAsia"/>
        </w:rPr>
        <w:t>患者，应在所有医疗机构实施。</w:t>
      </w:r>
    </w:p>
    <w:p w:rsidR="00957A27" w:rsidRDefault="00CC3C2F" w:rsidP="00070839">
      <w:pPr>
        <w:pStyle w:val="a6"/>
        <w:numPr>
          <w:ilvl w:val="0"/>
          <w:numId w:val="1"/>
        </w:numPr>
        <w:spacing w:after="100" w:afterAutospacing="1"/>
        <w:ind w:firstLineChars="0"/>
      </w:pPr>
      <w:hyperlink r:id="rId20" w:history="1">
        <w:r w:rsidR="00957A27" w:rsidRPr="00381D37">
          <w:rPr>
            <w:rStyle w:val="a5"/>
            <w:rFonts w:hint="eastAsia"/>
          </w:rPr>
          <w:t>美国</w:t>
        </w:r>
        <w:r w:rsidR="00DB6BDC" w:rsidRPr="00381D37">
          <w:rPr>
            <w:rStyle w:val="a5"/>
            <w:rFonts w:hint="eastAsia"/>
          </w:rPr>
          <w:t>医院</w:t>
        </w:r>
        <w:r w:rsidR="00957A27" w:rsidRPr="00381D37">
          <w:rPr>
            <w:rStyle w:val="a5"/>
            <w:rFonts w:hint="eastAsia"/>
          </w:rPr>
          <w:t>埃博拉病毒病患者的安全管理</w:t>
        </w:r>
      </w:hyperlink>
      <w:r w:rsidR="00957A27">
        <w:rPr>
          <w:rFonts w:hint="eastAsia"/>
        </w:rPr>
        <w:t>。</w:t>
      </w:r>
    </w:p>
    <w:p w:rsidR="00957A27" w:rsidRDefault="00CC3C2F" w:rsidP="00070839">
      <w:pPr>
        <w:pStyle w:val="a6"/>
        <w:numPr>
          <w:ilvl w:val="0"/>
          <w:numId w:val="1"/>
        </w:numPr>
        <w:spacing w:after="100" w:afterAutospacing="1"/>
        <w:ind w:firstLineChars="0"/>
      </w:pPr>
      <w:hyperlink r:id="rId21" w:history="1">
        <w:r w:rsidR="00DB6BDC" w:rsidRPr="00021E20">
          <w:rPr>
            <w:rStyle w:val="a5"/>
            <w:rFonts w:hint="eastAsia"/>
          </w:rPr>
          <w:t>美国</w:t>
        </w:r>
        <w:r w:rsidR="00021E20" w:rsidRPr="00021E20">
          <w:rPr>
            <w:rStyle w:val="a5"/>
            <w:rFonts w:hint="eastAsia"/>
          </w:rPr>
          <w:t>医院内对</w:t>
        </w:r>
        <w:r w:rsidR="00DB6BDC" w:rsidRPr="00021E20">
          <w:rPr>
            <w:rStyle w:val="a5"/>
            <w:rFonts w:hint="eastAsia"/>
          </w:rPr>
          <w:t>确诊或疑似埃博拉出血热住院患者的</w:t>
        </w:r>
        <w:r w:rsidR="00957A27" w:rsidRPr="00021E20">
          <w:rPr>
            <w:rStyle w:val="a5"/>
            <w:rFonts w:hint="eastAsia"/>
          </w:rPr>
          <w:t>感染预防和控制建议</w:t>
        </w:r>
      </w:hyperlink>
      <w:r w:rsidR="00DB6BDC">
        <w:rPr>
          <w:rFonts w:hint="eastAsia"/>
        </w:rPr>
        <w:t>。该文件</w:t>
      </w:r>
      <w:r w:rsidR="00021E20">
        <w:rPr>
          <w:rFonts w:hint="eastAsia"/>
        </w:rPr>
        <w:t>对</w:t>
      </w:r>
      <w:r w:rsidR="00DB6BDC">
        <w:rPr>
          <w:rFonts w:hint="eastAsia"/>
        </w:rPr>
        <w:t>适当的个人防护装备（</w:t>
      </w:r>
      <w:r w:rsidR="00DB6BDC">
        <w:rPr>
          <w:rFonts w:hint="eastAsia"/>
        </w:rPr>
        <w:t>PEE</w:t>
      </w:r>
      <w:r w:rsidR="00DB6BDC">
        <w:rPr>
          <w:rFonts w:hint="eastAsia"/>
        </w:rPr>
        <w:t>）</w:t>
      </w:r>
      <w:r w:rsidR="00021E20">
        <w:rPr>
          <w:rFonts w:hint="eastAsia"/>
        </w:rPr>
        <w:t>进行了概述</w:t>
      </w:r>
      <w:r w:rsidR="00DB6BDC">
        <w:rPr>
          <w:rFonts w:hint="eastAsia"/>
        </w:rPr>
        <w:t>。</w:t>
      </w:r>
    </w:p>
    <w:p w:rsidR="00DB6BDC" w:rsidRDefault="00CC3C2F" w:rsidP="00070839">
      <w:pPr>
        <w:pStyle w:val="a6"/>
        <w:numPr>
          <w:ilvl w:val="0"/>
          <w:numId w:val="1"/>
        </w:numPr>
        <w:spacing w:after="100" w:afterAutospacing="1"/>
        <w:ind w:firstLineChars="0"/>
      </w:pPr>
      <w:hyperlink r:id="rId22" w:history="1">
        <w:r w:rsidR="00FC5B02" w:rsidRPr="00157D56">
          <w:rPr>
            <w:rStyle w:val="a5"/>
            <w:rFonts w:hint="eastAsia"/>
          </w:rPr>
          <w:t>用于</w:t>
        </w:r>
        <w:r w:rsidR="00DB6BDC" w:rsidRPr="00157D56">
          <w:rPr>
            <w:rStyle w:val="a5"/>
            <w:rFonts w:hint="eastAsia"/>
          </w:rPr>
          <w:t>疑似埃博拉</w:t>
        </w:r>
        <w:r w:rsidR="00322F9B" w:rsidRPr="00157D56">
          <w:rPr>
            <w:rStyle w:val="a5"/>
            <w:rFonts w:hint="eastAsia"/>
          </w:rPr>
          <w:t>病毒病患者样本采集、运输、</w:t>
        </w:r>
        <w:r w:rsidR="00DB6BDC" w:rsidRPr="00157D56">
          <w:rPr>
            <w:rStyle w:val="a5"/>
            <w:rFonts w:hint="eastAsia"/>
          </w:rPr>
          <w:t>检测</w:t>
        </w:r>
        <w:r w:rsidR="00322F9B" w:rsidRPr="00157D56">
          <w:rPr>
            <w:rStyle w:val="a5"/>
            <w:rFonts w:hint="eastAsia"/>
          </w:rPr>
          <w:t>和提交</w:t>
        </w:r>
        <w:r w:rsidR="00FC5B02" w:rsidRPr="00157D56">
          <w:rPr>
            <w:rStyle w:val="a5"/>
            <w:rFonts w:hint="eastAsia"/>
          </w:rPr>
          <w:t>的</w:t>
        </w:r>
        <w:r w:rsidR="00DB6BDC" w:rsidRPr="00157D56">
          <w:rPr>
            <w:rStyle w:val="a5"/>
            <w:rFonts w:hint="eastAsia"/>
          </w:rPr>
          <w:t>临时指南</w:t>
        </w:r>
      </w:hyperlink>
      <w:r w:rsidR="00322F9B">
        <w:rPr>
          <w:rFonts w:hint="eastAsia"/>
        </w:rPr>
        <w:t>。</w:t>
      </w:r>
    </w:p>
    <w:p w:rsidR="00322F9B" w:rsidRDefault="00CC3C2F" w:rsidP="00070839">
      <w:pPr>
        <w:pStyle w:val="a6"/>
        <w:numPr>
          <w:ilvl w:val="0"/>
          <w:numId w:val="1"/>
        </w:numPr>
        <w:spacing w:after="100" w:afterAutospacing="1"/>
        <w:ind w:firstLineChars="0"/>
      </w:pPr>
      <w:hyperlink r:id="rId23" w:history="1">
        <w:r w:rsidR="00322F9B" w:rsidRPr="00157D56">
          <w:rPr>
            <w:rStyle w:val="a5"/>
            <w:rFonts w:hint="eastAsia"/>
          </w:rPr>
          <w:t>医院埃博拉病毒环境感染控制临时指南</w:t>
        </w:r>
      </w:hyperlink>
      <w:r w:rsidR="00322F9B">
        <w:rPr>
          <w:rFonts w:hint="eastAsia"/>
        </w:rPr>
        <w:t>。</w:t>
      </w:r>
    </w:p>
    <w:p w:rsidR="00322F9B" w:rsidRDefault="00CC3C2F" w:rsidP="00070839">
      <w:pPr>
        <w:pStyle w:val="a6"/>
        <w:numPr>
          <w:ilvl w:val="0"/>
          <w:numId w:val="1"/>
        </w:numPr>
        <w:spacing w:after="100" w:afterAutospacing="1"/>
        <w:ind w:firstLineChars="0"/>
      </w:pPr>
      <w:hyperlink r:id="rId24" w:history="1">
        <w:r w:rsidR="00FC5B02" w:rsidRPr="00157D56">
          <w:rPr>
            <w:rStyle w:val="a5"/>
            <w:rFonts w:hint="eastAsia"/>
          </w:rPr>
          <w:t>脱除</w:t>
        </w:r>
        <w:r w:rsidR="00322F9B" w:rsidRPr="00157D56">
          <w:rPr>
            <w:rStyle w:val="a5"/>
            <w:rFonts w:hint="eastAsia"/>
          </w:rPr>
          <w:t>个人防护装备（</w:t>
        </w:r>
        <w:r w:rsidR="00322F9B" w:rsidRPr="00157D56">
          <w:rPr>
            <w:rStyle w:val="a5"/>
            <w:rFonts w:hint="eastAsia"/>
          </w:rPr>
          <w:t>PPE</w:t>
        </w:r>
        <w:r w:rsidR="00322F9B" w:rsidRPr="00157D56">
          <w:rPr>
            <w:rStyle w:val="a5"/>
            <w:rFonts w:hint="eastAsia"/>
          </w:rPr>
          <w:t>）的顺序</w:t>
        </w:r>
      </w:hyperlink>
    </w:p>
    <w:p w:rsidR="00322F9B" w:rsidRDefault="00CC3C2F" w:rsidP="00070839">
      <w:pPr>
        <w:pStyle w:val="a6"/>
        <w:numPr>
          <w:ilvl w:val="0"/>
          <w:numId w:val="1"/>
        </w:numPr>
        <w:spacing w:after="100" w:afterAutospacing="1"/>
        <w:ind w:firstLineChars="0"/>
      </w:pPr>
      <w:hyperlink r:id="rId25" w:history="1">
        <w:r w:rsidR="00322F9B" w:rsidRPr="00157D56">
          <w:rPr>
            <w:rStyle w:val="a5"/>
            <w:rFonts w:hint="eastAsia"/>
          </w:rPr>
          <w:t>医疗体系</w:t>
        </w:r>
        <w:r w:rsidR="00067552" w:rsidRPr="00157D56">
          <w:rPr>
            <w:rStyle w:val="a5"/>
            <w:rFonts w:hint="eastAsia"/>
          </w:rPr>
          <w:t>准备</w:t>
        </w:r>
        <w:r w:rsidR="00322F9B" w:rsidRPr="00157D56">
          <w:rPr>
            <w:rStyle w:val="a5"/>
            <w:rFonts w:hint="eastAsia"/>
          </w:rPr>
          <w:t>能力</w:t>
        </w:r>
        <w:r w:rsidR="00067552" w:rsidRPr="00157D56">
          <w:rPr>
            <w:rStyle w:val="a5"/>
            <w:rFonts w:hint="eastAsia"/>
          </w:rPr>
          <w:t>的全国</w:t>
        </w:r>
        <w:r w:rsidR="00322F9B" w:rsidRPr="00157D56">
          <w:rPr>
            <w:rStyle w:val="a5"/>
            <w:rFonts w:hint="eastAsia"/>
          </w:rPr>
          <w:t>指南</w:t>
        </w:r>
      </w:hyperlink>
      <w:r w:rsidR="00322F9B">
        <w:rPr>
          <w:rFonts w:hint="eastAsia"/>
        </w:rPr>
        <w:t>，尤其着重于能力</w:t>
      </w:r>
      <w:r w:rsidR="00322F9B">
        <w:rPr>
          <w:rFonts w:hint="eastAsia"/>
        </w:rPr>
        <w:t>#6</w:t>
      </w:r>
      <w:r w:rsidR="00322F9B">
        <w:rPr>
          <w:rFonts w:hint="eastAsia"/>
        </w:rPr>
        <w:t>（信息共享）和</w:t>
      </w:r>
      <w:r w:rsidR="00067552">
        <w:rPr>
          <w:rFonts w:hint="eastAsia"/>
        </w:rPr>
        <w:t>能力</w:t>
      </w:r>
      <w:r w:rsidR="00322F9B">
        <w:rPr>
          <w:rFonts w:hint="eastAsia"/>
        </w:rPr>
        <w:t>#14</w:t>
      </w:r>
      <w:r w:rsidR="00322F9B">
        <w:rPr>
          <w:rFonts w:hint="eastAsia"/>
        </w:rPr>
        <w:t>（应对人员安全与健康）</w:t>
      </w:r>
    </w:p>
    <w:p w:rsidR="00322F9B" w:rsidRDefault="00CC3C2F" w:rsidP="00070839">
      <w:pPr>
        <w:pStyle w:val="a6"/>
        <w:numPr>
          <w:ilvl w:val="0"/>
          <w:numId w:val="1"/>
        </w:numPr>
        <w:spacing w:after="100" w:afterAutospacing="1"/>
        <w:ind w:firstLineChars="0"/>
      </w:pPr>
      <w:hyperlink r:id="rId26" w:history="1">
        <w:r w:rsidR="00C10FB0" w:rsidRPr="00EA2600">
          <w:rPr>
            <w:rStyle w:val="a5"/>
            <w:rFonts w:hint="eastAsia"/>
          </w:rPr>
          <w:t>紧急</w:t>
        </w:r>
        <w:r w:rsidR="00500B55" w:rsidRPr="00EA2600">
          <w:rPr>
            <w:rStyle w:val="a5"/>
            <w:rFonts w:hint="eastAsia"/>
          </w:rPr>
          <w:t>医疗服务体系和</w:t>
        </w:r>
        <w:r w:rsidR="00500B55" w:rsidRPr="00EA2600">
          <w:rPr>
            <w:rStyle w:val="a5"/>
            <w:rFonts w:hint="eastAsia"/>
          </w:rPr>
          <w:t>9-1-1 PSAP</w:t>
        </w:r>
        <w:r w:rsidR="00500B55" w:rsidRPr="00EA2600">
          <w:rPr>
            <w:rStyle w:val="a5"/>
            <w:rFonts w:hint="eastAsia"/>
          </w:rPr>
          <w:t>临时指南</w:t>
        </w:r>
      </w:hyperlink>
      <w:r w:rsidR="00500B55">
        <w:rPr>
          <w:rFonts w:hint="eastAsia"/>
        </w:rPr>
        <w:t>。</w:t>
      </w:r>
    </w:p>
    <w:p w:rsidR="00500B55" w:rsidRDefault="00067552" w:rsidP="00070839">
      <w:pPr>
        <w:pStyle w:val="a6"/>
        <w:numPr>
          <w:ilvl w:val="0"/>
          <w:numId w:val="1"/>
        </w:numPr>
        <w:spacing w:after="100" w:afterAutospacing="1"/>
        <w:ind w:firstLineChars="0"/>
      </w:pPr>
      <w:r>
        <w:rPr>
          <w:rFonts w:hint="eastAsia"/>
        </w:rPr>
        <w:t>回顾</w:t>
      </w:r>
      <w:r w:rsidR="00500B55">
        <w:rPr>
          <w:rFonts w:hint="eastAsia"/>
        </w:rPr>
        <w:t>和</w:t>
      </w:r>
      <w:r>
        <w:rPr>
          <w:rFonts w:hint="eastAsia"/>
        </w:rPr>
        <w:t>分发</w:t>
      </w:r>
      <w:hyperlink r:id="rId27" w:history="1">
        <w:r w:rsidR="00500B55" w:rsidRPr="00EA2600">
          <w:rPr>
            <w:rStyle w:val="a5"/>
            <w:rFonts w:hint="eastAsia"/>
          </w:rPr>
          <w:t>医疗机构环境感染控制</w:t>
        </w:r>
        <w:r w:rsidRPr="00EA2600">
          <w:rPr>
            <w:rStyle w:val="a5"/>
            <w:rFonts w:hint="eastAsia"/>
          </w:rPr>
          <w:t>指南</w:t>
        </w:r>
      </w:hyperlink>
      <w:r w:rsidR="00500B55">
        <w:rPr>
          <w:rFonts w:hint="eastAsia"/>
        </w:rPr>
        <w:t>。</w:t>
      </w:r>
    </w:p>
    <w:p w:rsidR="00500B55" w:rsidRDefault="00CC3C2F" w:rsidP="00412DDD">
      <w:pPr>
        <w:pStyle w:val="a6"/>
        <w:numPr>
          <w:ilvl w:val="0"/>
          <w:numId w:val="1"/>
        </w:numPr>
        <w:spacing w:after="100" w:afterAutospacing="1"/>
        <w:ind w:firstLineChars="0"/>
      </w:pPr>
      <w:hyperlink r:id="rId28" w:history="1">
        <w:r w:rsidR="00500B55" w:rsidRPr="00EA2600">
          <w:rPr>
            <w:rStyle w:val="a5"/>
            <w:rFonts w:hint="eastAsia"/>
          </w:rPr>
          <w:t>埃博拉病毒病患者的空中医疗转运指南</w:t>
        </w:r>
      </w:hyperlink>
      <w:r w:rsidR="00500B55">
        <w:rPr>
          <w:rFonts w:hint="eastAsia"/>
        </w:rPr>
        <w:t>。</w:t>
      </w:r>
    </w:p>
    <w:p w:rsidR="00500B55" w:rsidRDefault="00B20C37">
      <w:r>
        <w:rPr>
          <w:rFonts w:hint="eastAsia"/>
        </w:rPr>
        <w:t>定期查看</w:t>
      </w:r>
      <w:r w:rsidR="00067552">
        <w:rPr>
          <w:rFonts w:hint="eastAsia"/>
        </w:rPr>
        <w:t>CDC</w:t>
      </w:r>
      <w:r>
        <w:rPr>
          <w:rFonts w:hint="eastAsia"/>
        </w:rPr>
        <w:t>埃博拉出血热网站，了解最新信息。州和</w:t>
      </w:r>
      <w:r w:rsidR="00253126">
        <w:rPr>
          <w:rFonts w:hint="eastAsia"/>
        </w:rPr>
        <w:t>地方</w:t>
      </w:r>
      <w:r>
        <w:rPr>
          <w:rFonts w:hint="eastAsia"/>
        </w:rPr>
        <w:t>卫生部门若有疑问，应联系</w:t>
      </w:r>
      <w:r w:rsidR="00067552">
        <w:rPr>
          <w:rFonts w:hint="eastAsia"/>
        </w:rPr>
        <w:t>CDC</w:t>
      </w:r>
      <w:r>
        <w:rPr>
          <w:rFonts w:hint="eastAsia"/>
        </w:rPr>
        <w:t>应急</w:t>
      </w:r>
      <w:r w:rsidR="00067552">
        <w:rPr>
          <w:rFonts w:hint="eastAsia"/>
        </w:rPr>
        <w:t>指挥</w:t>
      </w:r>
      <w:r>
        <w:rPr>
          <w:rFonts w:hint="eastAsia"/>
        </w:rPr>
        <w:t>中心（</w:t>
      </w:r>
      <w:r w:rsidRPr="00B20C37">
        <w:rPr>
          <w:rFonts w:hint="eastAsia"/>
        </w:rPr>
        <w:t>770-488-7100</w:t>
      </w:r>
      <w:r w:rsidRPr="00B20C37">
        <w:rPr>
          <w:rFonts w:hint="eastAsia"/>
        </w:rPr>
        <w:t>或</w:t>
      </w:r>
      <w:r w:rsidRPr="00B20C37">
        <w:rPr>
          <w:rFonts w:hint="eastAsia"/>
        </w:rPr>
        <w:t>eocreport@cdc.gov</w:t>
      </w:r>
      <w:r>
        <w:rPr>
          <w:rFonts w:hint="eastAsia"/>
        </w:rPr>
        <w:t>）。</w:t>
      </w:r>
    </w:p>
    <w:p w:rsidR="00DB6BDC" w:rsidRPr="00067552" w:rsidRDefault="00DB6BDC"/>
    <w:sectPr w:rsidR="00DB6BDC" w:rsidRPr="00067552" w:rsidSect="001C5176">
      <w:footerReference w:type="default" r:id="rId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8ED" w:rsidRDefault="001F08ED" w:rsidP="00317314">
      <w:r>
        <w:separator/>
      </w:r>
    </w:p>
  </w:endnote>
  <w:endnote w:type="continuationSeparator" w:id="1">
    <w:p w:rsidR="001F08ED" w:rsidRDefault="001F08ED" w:rsidP="0031731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47860"/>
      <w:docPartObj>
        <w:docPartGallery w:val="Page Numbers (Bottom of Page)"/>
        <w:docPartUnique/>
      </w:docPartObj>
    </w:sdtPr>
    <w:sdtContent>
      <w:p w:rsidR="00412DDD" w:rsidRDefault="00CC3C2F">
        <w:pPr>
          <w:pStyle w:val="a4"/>
          <w:jc w:val="center"/>
        </w:pPr>
        <w:fldSimple w:instr=" PAGE   \* MERGEFORMAT ">
          <w:r w:rsidR="00D4386D" w:rsidRPr="00D4386D">
            <w:rPr>
              <w:noProof/>
              <w:lang w:val="zh-CN"/>
            </w:rPr>
            <w:t>1</w:t>
          </w:r>
        </w:fldSimple>
      </w:p>
    </w:sdtContent>
  </w:sdt>
  <w:p w:rsidR="00412DDD" w:rsidRDefault="00412DD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8ED" w:rsidRDefault="001F08ED" w:rsidP="00317314">
      <w:r>
        <w:separator/>
      </w:r>
    </w:p>
  </w:footnote>
  <w:footnote w:type="continuationSeparator" w:id="1">
    <w:p w:rsidR="001F08ED" w:rsidRDefault="001F08ED" w:rsidP="003173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B231E"/>
    <w:multiLevelType w:val="hybridMultilevel"/>
    <w:tmpl w:val="586A7660"/>
    <w:lvl w:ilvl="0" w:tplc="0BB6C42C">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3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7314"/>
    <w:rsid w:val="0000576D"/>
    <w:rsid w:val="00021E20"/>
    <w:rsid w:val="00056C2D"/>
    <w:rsid w:val="00066AED"/>
    <w:rsid w:val="00067552"/>
    <w:rsid w:val="00070839"/>
    <w:rsid w:val="00091B8E"/>
    <w:rsid w:val="000964BF"/>
    <w:rsid w:val="000E1451"/>
    <w:rsid w:val="00114AF3"/>
    <w:rsid w:val="0015303D"/>
    <w:rsid w:val="00157D56"/>
    <w:rsid w:val="00164D6E"/>
    <w:rsid w:val="001A20E1"/>
    <w:rsid w:val="001C5176"/>
    <w:rsid w:val="001E7BD3"/>
    <w:rsid w:val="001F08ED"/>
    <w:rsid w:val="00224CCB"/>
    <w:rsid w:val="0022607F"/>
    <w:rsid w:val="00253126"/>
    <w:rsid w:val="002601B5"/>
    <w:rsid w:val="0026744F"/>
    <w:rsid w:val="002742B6"/>
    <w:rsid w:val="002973D6"/>
    <w:rsid w:val="002A0EE7"/>
    <w:rsid w:val="002A1F9F"/>
    <w:rsid w:val="002A7BD1"/>
    <w:rsid w:val="002B5F8D"/>
    <w:rsid w:val="00317314"/>
    <w:rsid w:val="00322F9B"/>
    <w:rsid w:val="003262DE"/>
    <w:rsid w:val="003364B5"/>
    <w:rsid w:val="0036689D"/>
    <w:rsid w:val="00376FCD"/>
    <w:rsid w:val="00377BA9"/>
    <w:rsid w:val="00381D37"/>
    <w:rsid w:val="00390AD1"/>
    <w:rsid w:val="003B09B0"/>
    <w:rsid w:val="003C6DAF"/>
    <w:rsid w:val="00411231"/>
    <w:rsid w:val="00412DDD"/>
    <w:rsid w:val="0041317A"/>
    <w:rsid w:val="0043667F"/>
    <w:rsid w:val="00440DD6"/>
    <w:rsid w:val="004670DB"/>
    <w:rsid w:val="00500B55"/>
    <w:rsid w:val="00501C5A"/>
    <w:rsid w:val="005213BD"/>
    <w:rsid w:val="00563079"/>
    <w:rsid w:val="005B183B"/>
    <w:rsid w:val="005B65A2"/>
    <w:rsid w:val="005C1319"/>
    <w:rsid w:val="005E742B"/>
    <w:rsid w:val="005F40CD"/>
    <w:rsid w:val="00656CA6"/>
    <w:rsid w:val="006E110B"/>
    <w:rsid w:val="007168A7"/>
    <w:rsid w:val="0073655B"/>
    <w:rsid w:val="00746101"/>
    <w:rsid w:val="007829F1"/>
    <w:rsid w:val="007A01B9"/>
    <w:rsid w:val="007A63B3"/>
    <w:rsid w:val="007B45D8"/>
    <w:rsid w:val="007C1709"/>
    <w:rsid w:val="007D3989"/>
    <w:rsid w:val="007E460B"/>
    <w:rsid w:val="00830DA3"/>
    <w:rsid w:val="0084715A"/>
    <w:rsid w:val="00861ADF"/>
    <w:rsid w:val="00862AD5"/>
    <w:rsid w:val="00865758"/>
    <w:rsid w:val="008870A5"/>
    <w:rsid w:val="00890A53"/>
    <w:rsid w:val="008D6B63"/>
    <w:rsid w:val="008D73FE"/>
    <w:rsid w:val="00913D94"/>
    <w:rsid w:val="009162AC"/>
    <w:rsid w:val="00922F8A"/>
    <w:rsid w:val="00931694"/>
    <w:rsid w:val="00952EFB"/>
    <w:rsid w:val="00957A27"/>
    <w:rsid w:val="0096515F"/>
    <w:rsid w:val="00976B07"/>
    <w:rsid w:val="009B67F2"/>
    <w:rsid w:val="009E66DE"/>
    <w:rsid w:val="009F0B28"/>
    <w:rsid w:val="00A261FC"/>
    <w:rsid w:val="00A32D0A"/>
    <w:rsid w:val="00A353CD"/>
    <w:rsid w:val="00AA6B1F"/>
    <w:rsid w:val="00AD1907"/>
    <w:rsid w:val="00B03811"/>
    <w:rsid w:val="00B07230"/>
    <w:rsid w:val="00B14763"/>
    <w:rsid w:val="00B17427"/>
    <w:rsid w:val="00B20C37"/>
    <w:rsid w:val="00B3163D"/>
    <w:rsid w:val="00B56E61"/>
    <w:rsid w:val="00B7463E"/>
    <w:rsid w:val="00B8180C"/>
    <w:rsid w:val="00B82296"/>
    <w:rsid w:val="00B95D43"/>
    <w:rsid w:val="00BB5130"/>
    <w:rsid w:val="00BB7DBA"/>
    <w:rsid w:val="00BF4962"/>
    <w:rsid w:val="00C10FB0"/>
    <w:rsid w:val="00C2490A"/>
    <w:rsid w:val="00C47E61"/>
    <w:rsid w:val="00C60A3D"/>
    <w:rsid w:val="00C63070"/>
    <w:rsid w:val="00C83549"/>
    <w:rsid w:val="00CB3541"/>
    <w:rsid w:val="00CB3936"/>
    <w:rsid w:val="00CB3E33"/>
    <w:rsid w:val="00CC3C2F"/>
    <w:rsid w:val="00CC78FE"/>
    <w:rsid w:val="00D0416C"/>
    <w:rsid w:val="00D12250"/>
    <w:rsid w:val="00D31965"/>
    <w:rsid w:val="00D4386D"/>
    <w:rsid w:val="00D4401A"/>
    <w:rsid w:val="00DB195B"/>
    <w:rsid w:val="00DB6BDC"/>
    <w:rsid w:val="00DE2872"/>
    <w:rsid w:val="00DE441B"/>
    <w:rsid w:val="00E12F71"/>
    <w:rsid w:val="00E42AC4"/>
    <w:rsid w:val="00E74D88"/>
    <w:rsid w:val="00EA2600"/>
    <w:rsid w:val="00EA4AA7"/>
    <w:rsid w:val="00EB0B5E"/>
    <w:rsid w:val="00EC7D1B"/>
    <w:rsid w:val="00ED2764"/>
    <w:rsid w:val="00ED51F7"/>
    <w:rsid w:val="00EE30FF"/>
    <w:rsid w:val="00F33F52"/>
    <w:rsid w:val="00F37434"/>
    <w:rsid w:val="00F37D17"/>
    <w:rsid w:val="00F6207D"/>
    <w:rsid w:val="00F70DFD"/>
    <w:rsid w:val="00F745B1"/>
    <w:rsid w:val="00F84636"/>
    <w:rsid w:val="00FB28C8"/>
    <w:rsid w:val="00FC5B02"/>
    <w:rsid w:val="00FC78A8"/>
    <w:rsid w:val="00FE3E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1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73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17314"/>
    <w:rPr>
      <w:sz w:val="18"/>
      <w:szCs w:val="18"/>
    </w:rPr>
  </w:style>
  <w:style w:type="paragraph" w:styleId="a4">
    <w:name w:val="footer"/>
    <w:basedOn w:val="a"/>
    <w:link w:val="Char0"/>
    <w:uiPriority w:val="99"/>
    <w:unhideWhenUsed/>
    <w:rsid w:val="00317314"/>
    <w:pPr>
      <w:tabs>
        <w:tab w:val="center" w:pos="4153"/>
        <w:tab w:val="right" w:pos="8306"/>
      </w:tabs>
      <w:snapToGrid w:val="0"/>
      <w:jc w:val="left"/>
    </w:pPr>
    <w:rPr>
      <w:sz w:val="18"/>
      <w:szCs w:val="18"/>
    </w:rPr>
  </w:style>
  <w:style w:type="character" w:customStyle="1" w:styleId="Char0">
    <w:name w:val="页脚 Char"/>
    <w:basedOn w:val="a0"/>
    <w:link w:val="a4"/>
    <w:uiPriority w:val="99"/>
    <w:rsid w:val="00317314"/>
    <w:rPr>
      <w:sz w:val="18"/>
      <w:szCs w:val="18"/>
    </w:rPr>
  </w:style>
  <w:style w:type="character" w:styleId="a5">
    <w:name w:val="Hyperlink"/>
    <w:basedOn w:val="a0"/>
    <w:uiPriority w:val="99"/>
    <w:unhideWhenUsed/>
    <w:rsid w:val="002A1F9F"/>
    <w:rPr>
      <w:color w:val="0000FF" w:themeColor="hyperlink"/>
      <w:u w:val="single"/>
    </w:rPr>
  </w:style>
  <w:style w:type="paragraph" w:styleId="a6">
    <w:name w:val="List Paragraph"/>
    <w:basedOn w:val="a"/>
    <w:uiPriority w:val="34"/>
    <w:qFormat/>
    <w:rsid w:val="00C63070"/>
    <w:pPr>
      <w:ind w:firstLineChars="200" w:firstLine="420"/>
    </w:pPr>
  </w:style>
  <w:style w:type="table" w:styleId="a7">
    <w:name w:val="Table Grid"/>
    <w:basedOn w:val="a1"/>
    <w:uiPriority w:val="59"/>
    <w:rsid w:val="00D3196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Char1"/>
    <w:uiPriority w:val="99"/>
    <w:semiHidden/>
    <w:unhideWhenUsed/>
    <w:rsid w:val="00656CA6"/>
    <w:rPr>
      <w:sz w:val="18"/>
      <w:szCs w:val="18"/>
    </w:rPr>
  </w:style>
  <w:style w:type="character" w:customStyle="1" w:styleId="Char1">
    <w:name w:val="批注框文本 Char"/>
    <w:basedOn w:val="a0"/>
    <w:link w:val="a8"/>
    <w:uiPriority w:val="99"/>
    <w:semiHidden/>
    <w:rsid w:val="00656CA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dc.gov/vhf/ebola/hcp/clinician-information-us-healthcare-settings.html" TargetMode="External"/><Relationship Id="rId18" Type="http://schemas.openxmlformats.org/officeDocument/2006/relationships/hyperlink" Target="http://www.cdc.gov/vhf/ebola/hcp/case-definition.html" TargetMode="External"/><Relationship Id="rId26" Type="http://schemas.openxmlformats.org/officeDocument/2006/relationships/hyperlink" Target="http://www.cdc.gov/vhf/ebola/hcp/interim-guidance-emergency-medical-services-systems-911-public-safety-answering-points-management-patients-known-suspected-united-states.html" TargetMode="External"/><Relationship Id="rId3" Type="http://schemas.openxmlformats.org/officeDocument/2006/relationships/settings" Target="settings.xml"/><Relationship Id="rId21" Type="http://schemas.openxmlformats.org/officeDocument/2006/relationships/hyperlink" Target="http://www.cdc.gov/vhf/ebola/hcp/infection-prevention-and-control-recommendations.html" TargetMode="External"/><Relationship Id="rId7" Type="http://schemas.openxmlformats.org/officeDocument/2006/relationships/image" Target="media/image1.png"/><Relationship Id="rId12" Type="http://schemas.openxmlformats.org/officeDocument/2006/relationships/hyperlink" Target="http://www.cdc.gov/vhf/ebola/hcp/patient-management-us-hospitals.html" TargetMode="External"/><Relationship Id="rId17" Type="http://schemas.openxmlformats.org/officeDocument/2006/relationships/hyperlink" Target="https://www.osha.gov/as/opa/quicktakes/index.html" TargetMode="External"/><Relationship Id="rId25" Type="http://schemas.openxmlformats.org/officeDocument/2006/relationships/hyperlink" Target="http://www.phe.gov/preparedness/planning/hpp/reports/documents/capabilities.pdf" TargetMode="External"/><Relationship Id="rId2" Type="http://schemas.openxmlformats.org/officeDocument/2006/relationships/styles" Target="styles.xml"/><Relationship Id="rId16" Type="http://schemas.openxmlformats.org/officeDocument/2006/relationships/hyperlink" Target="http://www.cdc.gov/niosh/" TargetMode="External"/><Relationship Id="rId20" Type="http://schemas.openxmlformats.org/officeDocument/2006/relationships/hyperlink" Target="http://www.cdc.gov/vhf/ebola/hcp/patient-management-us-hospitals.htm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c.gov/vhf/ebola/hcp/index.html" TargetMode="External"/><Relationship Id="rId24" Type="http://schemas.openxmlformats.org/officeDocument/2006/relationships/hyperlink" Target="http://www.cdc.gov/vhf/ebola/pdf/ppe-poster.pdf" TargetMode="External"/><Relationship Id="rId5" Type="http://schemas.openxmlformats.org/officeDocument/2006/relationships/footnotes" Target="footnotes.xml"/><Relationship Id="rId15" Type="http://schemas.openxmlformats.org/officeDocument/2006/relationships/hyperlink" Target="http://emergency.cdc.gov/coca/" TargetMode="External"/><Relationship Id="rId23" Type="http://schemas.openxmlformats.org/officeDocument/2006/relationships/hyperlink" Target="http://www.cdc.gov/vhf/ebola/hcp/environmental-infection-control-in-hospitals.html" TargetMode="External"/><Relationship Id="rId28" Type="http://schemas.openxmlformats.org/officeDocument/2006/relationships/hyperlink" Target="http://www.cdc.gov/vhf/ebola/hcp/guidance-air-medical-transport-patients.html" TargetMode="External"/><Relationship Id="rId10" Type="http://schemas.openxmlformats.org/officeDocument/2006/relationships/hyperlink" Target="http://www.cdc.gov/vhf/ebola/index.html" TargetMode="External"/><Relationship Id="rId19" Type="http://schemas.openxmlformats.org/officeDocument/2006/relationships/hyperlink" Target="http://www.cdc.gov/vhf/ebola/hcp/case-definition.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dc.gov/vhf/ebola/hcp/index.html" TargetMode="External"/><Relationship Id="rId14" Type="http://schemas.openxmlformats.org/officeDocument/2006/relationships/hyperlink" Target="http://emergency.cdc.gov/HAN" TargetMode="External"/><Relationship Id="rId22" Type="http://schemas.openxmlformats.org/officeDocument/2006/relationships/hyperlink" Target="http://www.cdc.gov/vhf/ebola/hcp/interim-guidance-specimen-collection-submission-patients-suspected-infection-ebola.html" TargetMode="External"/><Relationship Id="rId27" Type="http://schemas.openxmlformats.org/officeDocument/2006/relationships/hyperlink" Target="http://www.cdc.gov/vhf/ebola/hcp/environmental-infection-control-in-hospitals.html"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3</Pages>
  <Words>640</Words>
  <Characters>3653</Characters>
  <Application>Microsoft Office Word</Application>
  <DocSecurity>0</DocSecurity>
  <Lines>30</Lines>
  <Paragraphs>8</Paragraphs>
  <ScaleCrop>false</ScaleCrop>
  <Company>Sky123.Org</Company>
  <LinksUpToDate>false</LinksUpToDate>
  <CharactersWithSpaces>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周蕾</cp:lastModifiedBy>
  <cp:revision>13</cp:revision>
  <dcterms:created xsi:type="dcterms:W3CDTF">2014-10-17T06:42:00Z</dcterms:created>
  <dcterms:modified xsi:type="dcterms:W3CDTF">2014-10-20T08:17:00Z</dcterms:modified>
</cp:coreProperties>
</file>