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14:paraId="0793B16A">
      <w:pPr>
        <w:pStyle w:val="style0"/>
        <w:spacing w:after="312" w:afterLines="100"/>
        <w:jc w:val="center"/>
        <w:rPr>
          <w:rFonts w:ascii="方正小标宋简体" w:cs="方正大标宋简体" w:eastAsia="方正小标宋简体" w:hAnsi="方正大标宋简体" w:hint="eastAsia"/>
          <w:sz w:val="44"/>
          <w:szCs w:val="44"/>
        </w:rPr>
      </w:pPr>
      <w:r>
        <w:rPr>
          <w:rFonts w:ascii="方正小标宋简体" w:cs="微软雅黑" w:eastAsia="方正小标宋简体" w:hAnsi="微软雅黑" w:hint="eastAsia"/>
          <w:b/>
          <w:bCs/>
          <w:sz w:val="44"/>
          <w:szCs w:val="44"/>
        </w:rPr>
        <w:t>华医科技奖项目公示</w:t>
      </w:r>
    </w:p>
    <w:p w14:paraId="28C31177">
      <w:pPr>
        <w:pStyle w:val="style0"/>
        <w:spacing w:lineRule="exact" w:line="360"/>
        <w:rPr>
          <w:rFonts w:ascii="仿宋" w:eastAsia="仿宋" w:hAnsi="仿宋"/>
          <w:b/>
          <w:sz w:val="30"/>
          <w:szCs w:val="30"/>
        </w:rPr>
      </w:pPr>
      <w:r>
        <w:rPr>
          <w:rFonts w:ascii="仿宋" w:eastAsia="仿宋" w:hAnsi="仿宋" w:hint="eastAsia"/>
          <w:b/>
          <w:sz w:val="30"/>
          <w:szCs w:val="30"/>
        </w:rPr>
        <w:t>一、项目名称</w:t>
      </w:r>
    </w:p>
    <w:p w14:paraId="72A97B34">
      <w:pPr>
        <w:pStyle w:val="style0"/>
        <w:spacing w:lineRule="exact" w:line="360"/>
        <w:ind w:firstLine="560" w:firstLineChars="200"/>
        <w:rPr>
          <w:rFonts w:ascii="仿宋" w:eastAsia="仿宋" w:hAnsi="仿宋" w:hint="eastAsia"/>
          <w:b/>
          <w:sz w:val="30"/>
          <w:szCs w:val="30"/>
        </w:rPr>
      </w:pPr>
      <w:r>
        <w:rPr>
          <w:rFonts w:ascii="仿宋" w:eastAsia="仿宋" w:hAnsi="仿宋" w:hint="eastAsia"/>
          <w:sz w:val="28"/>
          <w:szCs w:val="30"/>
        </w:rPr>
        <w:t>真实世界新冠病毒疫苗效果评价适宜技术的建立与应用</w:t>
      </w:r>
    </w:p>
    <w:p w14:paraId="6098FDC3">
      <w:pPr>
        <w:pStyle w:val="style0"/>
        <w:spacing w:lineRule="exact" w:line="360"/>
        <w:rPr>
          <w:rFonts w:ascii="仿宋" w:eastAsia="仿宋" w:hAnsi="仿宋"/>
          <w:b/>
          <w:sz w:val="30"/>
          <w:szCs w:val="30"/>
        </w:rPr>
      </w:pPr>
      <w:r>
        <w:rPr>
          <w:rFonts w:ascii="仿宋" w:eastAsia="仿宋" w:hAnsi="仿宋" w:hint="eastAsia"/>
          <w:b/>
          <w:sz w:val="30"/>
          <w:szCs w:val="30"/>
        </w:rPr>
        <w:t>二、推荐单位</w:t>
      </w:r>
    </w:p>
    <w:p w14:paraId="40CF70B4">
      <w:pPr>
        <w:pStyle w:val="style0"/>
        <w:spacing w:lineRule="exact" w:line="360"/>
        <w:ind w:firstLine="560" w:firstLineChars="200"/>
        <w:rPr>
          <w:rFonts w:ascii="仿宋" w:eastAsia="仿宋" w:hAnsi="仿宋"/>
          <w:sz w:val="28"/>
          <w:szCs w:val="30"/>
        </w:rPr>
      </w:pPr>
      <w:r>
        <w:rPr>
          <w:rFonts w:ascii="仿宋" w:eastAsia="仿宋" w:hAnsi="仿宋" w:hint="eastAsia"/>
          <w:sz w:val="28"/>
          <w:szCs w:val="30"/>
        </w:rPr>
        <w:t>中国疾病预防控制中心</w:t>
      </w:r>
    </w:p>
    <w:p w14:paraId="4A1FB4E4">
      <w:pPr>
        <w:pStyle w:val="style0"/>
        <w:spacing w:lineRule="exact" w:line="360"/>
        <w:rPr>
          <w:rFonts w:ascii="仿宋" w:eastAsia="仿宋" w:hAnsi="仿宋"/>
          <w:b/>
          <w:sz w:val="30"/>
          <w:szCs w:val="30"/>
        </w:rPr>
      </w:pPr>
      <w:r>
        <w:rPr>
          <w:rFonts w:ascii="仿宋" w:eastAsia="仿宋" w:hAnsi="仿宋" w:hint="eastAsia"/>
          <w:b/>
          <w:sz w:val="30"/>
          <w:szCs w:val="30"/>
        </w:rPr>
        <w:t>三、主要完成单位</w:t>
      </w:r>
    </w:p>
    <w:p w14:paraId="6496C9D6">
      <w:pPr>
        <w:pStyle w:val="style0"/>
        <w:spacing w:lineRule="exact" w:line="360"/>
        <w:ind w:firstLine="560" w:firstLineChars="200"/>
        <w:rPr>
          <w:rFonts w:ascii="仿宋" w:eastAsia="仿宋" w:hAnsi="仿宋" w:hint="default"/>
          <w:sz w:val="28"/>
          <w:szCs w:val="28"/>
          <w:lang w:val="en-US" w:eastAsia="zh-CN"/>
        </w:rPr>
      </w:pPr>
      <w:r>
        <w:rPr>
          <w:rFonts w:ascii="仿宋" w:eastAsia="仿宋" w:hAnsi="仿宋" w:hint="eastAsia"/>
          <w:sz w:val="28"/>
          <w:szCs w:val="28"/>
        </w:rPr>
        <w:t>中国疾病预防控制中心</w:t>
      </w:r>
      <w:r>
        <w:rPr>
          <w:rFonts w:ascii="仿宋" w:eastAsia="仿宋" w:hAnsi="仿宋" w:hint="eastAsia"/>
          <w:sz w:val="28"/>
          <w:szCs w:val="28"/>
          <w:lang w:eastAsia="zh-CN"/>
        </w:rPr>
        <w:t>、</w:t>
      </w:r>
      <w:r>
        <w:rPr>
          <w:rFonts w:ascii="仿宋" w:eastAsia="仿宋" w:hAnsi="仿宋" w:hint="eastAsia"/>
          <w:sz w:val="28"/>
          <w:szCs w:val="28"/>
        </w:rPr>
        <w:t>广州医科大学</w:t>
      </w:r>
      <w:bookmarkStart w:id="0" w:name="_GoBack"/>
      <w:bookmarkEnd w:id="0"/>
    </w:p>
    <w:p w14:paraId="7ADCCC3F">
      <w:pPr>
        <w:pStyle w:val="style0"/>
        <w:spacing w:lineRule="exact" w:line="360"/>
        <w:rPr>
          <w:rFonts w:ascii="仿宋" w:eastAsia="仿宋" w:hAnsi="仿宋"/>
          <w:b/>
          <w:sz w:val="30"/>
          <w:szCs w:val="30"/>
        </w:rPr>
      </w:pPr>
      <w:r>
        <w:rPr>
          <w:rFonts w:ascii="仿宋" w:eastAsia="仿宋" w:hAnsi="仿宋" w:hint="eastAsia"/>
          <w:b/>
          <w:sz w:val="30"/>
          <w:szCs w:val="30"/>
        </w:rPr>
        <w:t>四、主要完成人</w:t>
      </w:r>
    </w:p>
    <w:p w14:paraId="6082E6DC">
      <w:pPr>
        <w:pStyle w:val="style0"/>
        <w:spacing w:lineRule="exact" w:line="360"/>
        <w:ind w:firstLine="560" w:firstLineChars="200"/>
        <w:rPr>
          <w:rFonts w:ascii="仿宋" w:eastAsia="仿宋" w:hAnsi="仿宋" w:hint="eastAsia"/>
          <w:sz w:val="28"/>
          <w:szCs w:val="24"/>
        </w:rPr>
      </w:pPr>
      <w:r>
        <w:rPr>
          <w:rFonts w:ascii="仿宋" w:eastAsia="仿宋" w:hAnsi="仿宋" w:hint="eastAsia"/>
          <w:sz w:val="28"/>
          <w:szCs w:val="24"/>
        </w:rPr>
        <w:t>尹遵栋</w:t>
      </w:r>
      <w:r>
        <w:rPr>
          <w:rFonts w:ascii="仿宋" w:eastAsia="仿宋" w:hAnsi="仿宋" w:hint="eastAsia"/>
          <w:sz w:val="28"/>
          <w:szCs w:val="24"/>
          <w:lang w:eastAsia="zh-CN"/>
        </w:rPr>
        <w:t>、</w:t>
      </w:r>
      <w:r>
        <w:rPr>
          <w:rFonts w:ascii="仿宋" w:eastAsia="仿宋" w:hAnsi="仿宋" w:hint="eastAsia"/>
          <w:sz w:val="28"/>
          <w:szCs w:val="24"/>
        </w:rPr>
        <w:t>钟南山</w:t>
      </w:r>
      <w:r>
        <w:rPr>
          <w:rFonts w:ascii="仿宋" w:eastAsia="仿宋" w:hAnsi="仿宋" w:hint="eastAsia"/>
          <w:sz w:val="28"/>
          <w:szCs w:val="24"/>
          <w:lang w:eastAsia="zh-CN"/>
        </w:rPr>
        <w:t>、</w:t>
      </w:r>
      <w:r>
        <w:rPr>
          <w:rFonts w:ascii="仿宋" w:eastAsia="仿宋" w:hAnsi="仿宋" w:hint="eastAsia"/>
          <w:sz w:val="28"/>
          <w:szCs w:val="24"/>
        </w:rPr>
        <w:t>高福</w:t>
      </w:r>
      <w:r>
        <w:rPr>
          <w:rFonts w:ascii="仿宋" w:eastAsia="仿宋" w:hAnsi="仿宋" w:hint="eastAsia"/>
          <w:sz w:val="28"/>
          <w:szCs w:val="24"/>
          <w:lang w:eastAsia="zh-CN"/>
        </w:rPr>
        <w:t>、</w:t>
      </w:r>
      <w:r>
        <w:rPr>
          <w:rFonts w:ascii="仿宋" w:eastAsia="仿宋" w:hAnsi="仿宋" w:hint="eastAsia"/>
          <w:sz w:val="28"/>
          <w:szCs w:val="24"/>
        </w:rPr>
        <w:t>马超</w:t>
      </w:r>
      <w:r>
        <w:rPr>
          <w:rFonts w:ascii="仿宋" w:eastAsia="仿宋" w:hAnsi="仿宋" w:hint="eastAsia"/>
          <w:sz w:val="28"/>
          <w:szCs w:val="24"/>
          <w:lang w:eastAsia="zh-CN"/>
        </w:rPr>
        <w:t>、</w:t>
      </w:r>
      <w:r>
        <w:rPr>
          <w:rFonts w:ascii="仿宋" w:eastAsia="仿宋" w:hAnsi="仿宋" w:hint="eastAsia"/>
          <w:sz w:val="28"/>
          <w:szCs w:val="24"/>
        </w:rPr>
        <w:t>李明爽</w:t>
      </w:r>
      <w:r>
        <w:rPr>
          <w:rFonts w:ascii="仿宋" w:eastAsia="仿宋" w:hAnsi="仿宋" w:hint="eastAsia"/>
          <w:sz w:val="28"/>
          <w:szCs w:val="24"/>
          <w:lang w:eastAsia="zh-CN"/>
        </w:rPr>
        <w:t>、</w:t>
      </w:r>
      <w:r>
        <w:rPr>
          <w:rFonts w:ascii="仿宋" w:eastAsia="仿宋" w:hAnsi="仿宋" w:hint="eastAsia"/>
          <w:sz w:val="28"/>
          <w:szCs w:val="24"/>
        </w:rPr>
        <w:t>刘倩倩</w:t>
      </w:r>
      <w:r>
        <w:rPr>
          <w:rFonts w:ascii="仿宋" w:eastAsia="仿宋" w:hAnsi="仿宋" w:hint="eastAsia"/>
          <w:sz w:val="28"/>
          <w:szCs w:val="24"/>
          <w:lang w:eastAsia="zh-CN"/>
        </w:rPr>
        <w:t>、</w:t>
      </w:r>
      <w:r>
        <w:rPr>
          <w:rFonts w:ascii="仿宋" w:eastAsia="仿宋" w:hAnsi="仿宋" w:hint="eastAsia"/>
          <w:sz w:val="28"/>
          <w:szCs w:val="24"/>
        </w:rPr>
        <w:t>宋渝丹</w:t>
      </w:r>
      <w:r>
        <w:rPr>
          <w:rFonts w:ascii="仿宋" w:eastAsia="仿宋" w:hAnsi="仿宋" w:hint="eastAsia"/>
          <w:sz w:val="28"/>
          <w:szCs w:val="24"/>
          <w:lang w:eastAsia="zh-CN"/>
        </w:rPr>
        <w:t>、</w:t>
      </w:r>
      <w:r>
        <w:rPr>
          <w:rFonts w:ascii="仿宋" w:eastAsia="仿宋" w:hAnsi="仿宋" w:hint="eastAsia"/>
          <w:sz w:val="28"/>
          <w:szCs w:val="24"/>
        </w:rPr>
        <w:t>刘斯宇</w:t>
      </w:r>
      <w:r>
        <w:rPr>
          <w:rFonts w:ascii="仿宋" w:eastAsia="仿宋" w:hAnsi="仿宋" w:hint="eastAsia"/>
          <w:sz w:val="28"/>
          <w:szCs w:val="24"/>
          <w:lang w:eastAsia="zh-CN"/>
        </w:rPr>
        <w:t>、</w:t>
      </w:r>
      <w:r>
        <w:rPr>
          <w:rFonts w:ascii="仿宋" w:eastAsia="仿宋" w:hAnsi="仿宋" w:hint="eastAsia"/>
          <w:sz w:val="28"/>
          <w:szCs w:val="24"/>
        </w:rPr>
        <w:t>王晓琪</w:t>
      </w:r>
      <w:r>
        <w:rPr>
          <w:rFonts w:ascii="仿宋" w:eastAsia="仿宋" w:hAnsi="仿宋" w:hint="eastAsia"/>
          <w:sz w:val="28"/>
          <w:szCs w:val="24"/>
          <w:lang w:eastAsia="zh-CN"/>
        </w:rPr>
        <w:t>、</w:t>
      </w:r>
      <w:r>
        <w:rPr>
          <w:rFonts w:ascii="仿宋" w:eastAsia="仿宋" w:hAnsi="仿宋" w:hint="eastAsia"/>
          <w:sz w:val="28"/>
          <w:szCs w:val="24"/>
        </w:rPr>
        <w:t>张倩</w:t>
      </w:r>
      <w:r>
        <w:rPr>
          <w:rFonts w:ascii="仿宋" w:eastAsia="仿宋" w:hAnsi="仿宋" w:hint="eastAsia"/>
          <w:sz w:val="28"/>
          <w:szCs w:val="24"/>
          <w:lang w:eastAsia="zh-CN"/>
        </w:rPr>
        <w:t>、</w:t>
      </w:r>
      <w:r>
        <w:rPr>
          <w:rFonts w:ascii="仿宋" w:eastAsia="仿宋" w:hAnsi="仿宋" w:hint="eastAsia"/>
          <w:sz w:val="28"/>
          <w:szCs w:val="24"/>
        </w:rPr>
        <w:t>王忠芳</w:t>
      </w:r>
      <w:r>
        <w:rPr>
          <w:rFonts w:ascii="仿宋" w:eastAsia="仿宋" w:hAnsi="仿宋" w:hint="eastAsia"/>
          <w:sz w:val="28"/>
          <w:szCs w:val="24"/>
          <w:lang w:eastAsia="zh-CN"/>
        </w:rPr>
        <w:t>、</w:t>
      </w:r>
      <w:r>
        <w:rPr>
          <w:rFonts w:ascii="仿宋" w:eastAsia="仿宋" w:hAnsi="仿宋" w:hint="eastAsia"/>
          <w:sz w:val="28"/>
          <w:szCs w:val="24"/>
        </w:rPr>
        <w:t>杨宏</w:t>
      </w:r>
      <w:r>
        <w:rPr>
          <w:rFonts w:ascii="仿宋" w:eastAsia="仿宋" w:hAnsi="仿宋" w:hint="eastAsia"/>
          <w:sz w:val="28"/>
          <w:szCs w:val="24"/>
          <w:lang w:eastAsia="zh-CN"/>
        </w:rPr>
        <w:t>、</w:t>
      </w:r>
      <w:r>
        <w:rPr>
          <w:rFonts w:ascii="仿宋" w:eastAsia="仿宋" w:hAnsi="仿宋" w:hint="eastAsia"/>
          <w:sz w:val="28"/>
          <w:szCs w:val="24"/>
        </w:rPr>
        <w:t>李军宏</w:t>
      </w:r>
      <w:r>
        <w:rPr>
          <w:rFonts w:ascii="仿宋" w:eastAsia="仿宋" w:hAnsi="仿宋" w:hint="eastAsia"/>
          <w:sz w:val="28"/>
          <w:szCs w:val="24"/>
          <w:lang w:eastAsia="zh-CN"/>
        </w:rPr>
        <w:t>、</w:t>
      </w:r>
      <w:r>
        <w:rPr>
          <w:rFonts w:ascii="仿宋" w:eastAsia="仿宋" w:hAnsi="仿宋" w:hint="eastAsia"/>
          <w:sz w:val="28"/>
          <w:szCs w:val="24"/>
        </w:rPr>
        <w:t>王亚敏</w:t>
      </w:r>
    </w:p>
    <w:p w14:paraId="6E54EDCF">
      <w:pPr>
        <w:pStyle w:val="style0"/>
        <w:spacing w:lineRule="exact" w:line="360"/>
        <w:rPr>
          <w:rFonts w:ascii="仿宋" w:eastAsia="仿宋" w:hAnsi="仿宋"/>
          <w:b/>
          <w:sz w:val="30"/>
          <w:szCs w:val="30"/>
        </w:rPr>
      </w:pPr>
      <w:r>
        <w:rPr>
          <w:rFonts w:ascii="仿宋" w:eastAsia="仿宋" w:hAnsi="仿宋" w:hint="eastAsia"/>
          <w:b/>
          <w:sz w:val="30"/>
          <w:szCs w:val="30"/>
        </w:rPr>
        <w:t>五、项目简介</w:t>
      </w:r>
    </w:p>
    <w:p w14:paraId="3CBF2FA4">
      <w:pPr>
        <w:pStyle w:val="style0"/>
        <w:spacing w:lineRule="exact" w:line="360"/>
        <w:ind w:firstLine="560" w:firstLineChars="200"/>
        <w:rPr>
          <w:rFonts w:ascii="仿宋" w:eastAsia="仿宋" w:hAnsi="仿宋" w:hint="eastAsia"/>
          <w:sz w:val="28"/>
          <w:szCs w:val="24"/>
        </w:rPr>
      </w:pPr>
      <w:r>
        <w:rPr>
          <w:rFonts w:ascii="仿宋" w:eastAsia="仿宋" w:hAnsi="仿宋" w:hint="eastAsia"/>
          <w:sz w:val="28"/>
          <w:szCs w:val="24"/>
        </w:rPr>
        <w:t>新冠疫苗大规模接种后，由于病毒不断变异和“动态清零”条件下人群发病风险不同，无法用常规方式开展疫苗有效性评价，如何获得疫苗的有效性、如何开展加强免疫，成为疫情防控亟待解决的重大问题。项目组围绕上述两大问题开展研究，主要研究成果如下：</w:t>
      </w:r>
    </w:p>
    <w:p w14:paraId="4AA3955C">
      <w:pPr>
        <w:pStyle w:val="style0"/>
        <w:spacing w:lineRule="exact" w:line="360"/>
        <w:ind w:firstLine="562" w:firstLineChars="200"/>
        <w:rPr>
          <w:rFonts w:ascii="仿宋" w:eastAsia="仿宋" w:hAnsi="仿宋" w:hint="eastAsia"/>
          <w:sz w:val="28"/>
          <w:szCs w:val="24"/>
        </w:rPr>
      </w:pPr>
      <w:r>
        <w:rPr>
          <w:rFonts w:ascii="仿宋" w:eastAsia="仿宋" w:hAnsi="仿宋" w:hint="eastAsia"/>
          <w:b/>
          <w:bCs/>
          <w:sz w:val="28"/>
          <w:szCs w:val="24"/>
          <w:lang w:val="en-US" w:eastAsia="zh-CN"/>
        </w:rPr>
        <w:t>1.</w:t>
      </w:r>
      <w:r>
        <w:rPr>
          <w:rFonts w:ascii="仿宋" w:eastAsia="仿宋" w:hAnsi="仿宋" w:hint="eastAsia"/>
          <w:b/>
          <w:bCs/>
          <w:sz w:val="28"/>
          <w:szCs w:val="24"/>
        </w:rPr>
        <w:t>首次利用三公（工）协同大数据链接方式，识别相同暴露风险人群，评价“动态清零”复杂场景下疫苗的有效性，回应公众关切并被世卫组织认可</w:t>
      </w:r>
      <w:r>
        <w:rPr>
          <w:rFonts w:ascii="仿宋" w:eastAsia="仿宋" w:hAnsi="仿宋" w:hint="eastAsia"/>
          <w:sz w:val="28"/>
          <w:szCs w:val="24"/>
        </w:rPr>
        <w:t>。真实世界疫苗有效性评价的前提条件是接种与未接种人群暴露风险一致，在“动态清零”政策下，识别有相同暴露风险的人群是难点。项目组巧妙地利用疫情防控三公（工）协同大数据发现密接人员的方式，甄别出暴露风险相当的人群队列，分别在2021年7月郑州和瑞丽、2022年1月郑州和安阳、2022年2—7月辽宁等13个省疫情现场，通过大样本真实世界数据获得灭活及腺病毒载体疫苗预防原型株、德尔塔和奥密克戎变异株所致发病、肺炎和重症的效果。</w:t>
      </w:r>
    </w:p>
    <w:p w14:paraId="611E6A9E">
      <w:pPr>
        <w:pStyle w:val="style0"/>
        <w:spacing w:lineRule="exact" w:line="360"/>
        <w:ind w:firstLine="562" w:firstLineChars="200"/>
        <w:rPr>
          <w:rFonts w:ascii="仿宋" w:eastAsia="仿宋" w:hAnsi="仿宋" w:hint="eastAsia"/>
          <w:sz w:val="28"/>
          <w:szCs w:val="24"/>
        </w:rPr>
      </w:pPr>
      <w:r>
        <w:rPr>
          <w:rFonts w:ascii="仿宋" w:eastAsia="仿宋" w:hAnsi="仿宋" w:hint="eastAsia"/>
          <w:b/>
          <w:bCs/>
          <w:sz w:val="28"/>
          <w:szCs w:val="24"/>
          <w:lang w:val="en-US" w:eastAsia="zh-CN"/>
        </w:rPr>
        <w:t>2.</w:t>
      </w:r>
      <w:r>
        <w:rPr>
          <w:rFonts w:ascii="仿宋" w:eastAsia="仿宋" w:hAnsi="仿宋" w:hint="eastAsia"/>
          <w:b/>
          <w:bCs/>
          <w:sz w:val="28"/>
          <w:szCs w:val="24"/>
        </w:rPr>
        <w:t>首次开展前瞻性队列研究，评价吸入用腺病毒载体疫苗新型给药方式的有效性，回应对该疫苗是否有效的疑问。</w:t>
      </w:r>
      <w:r>
        <w:rPr>
          <w:rFonts w:ascii="仿宋" w:eastAsia="仿宋" w:hAnsi="仿宋" w:hint="eastAsia"/>
          <w:sz w:val="28"/>
          <w:szCs w:val="24"/>
        </w:rPr>
        <w:t>该疫苗获批紧急使用时缺乏临床试验保护效力结果和真实世界应用数据，项目组抓住2022年底疫情防控政策调整契机，采用前瞻性、非随机对照的队列研究，在人群高强度感染无法全部由人工随访时，结合人工智能电话呼叫方式开展研究，是国际唯一一次评价该疫苗的有效性。</w:t>
      </w:r>
    </w:p>
    <w:p w14:paraId="66BD2F4D">
      <w:pPr>
        <w:pStyle w:val="style0"/>
        <w:spacing w:lineRule="exact" w:line="360"/>
        <w:ind w:firstLine="562" w:firstLineChars="200"/>
        <w:rPr>
          <w:rFonts w:ascii="仿宋" w:eastAsia="仿宋" w:hAnsi="仿宋" w:hint="eastAsia"/>
          <w:sz w:val="28"/>
          <w:szCs w:val="24"/>
        </w:rPr>
      </w:pPr>
      <w:r>
        <w:rPr>
          <w:rFonts w:ascii="仿宋" w:eastAsia="仿宋" w:hAnsi="仿宋" w:hint="eastAsia"/>
          <w:b/>
          <w:bCs/>
          <w:sz w:val="28"/>
          <w:szCs w:val="24"/>
          <w:lang w:val="en-US" w:eastAsia="zh-CN"/>
        </w:rPr>
        <w:t>3.</w:t>
      </w:r>
      <w:r>
        <w:rPr>
          <w:rFonts w:ascii="仿宋" w:eastAsia="仿宋" w:hAnsi="仿宋" w:hint="eastAsia"/>
          <w:b/>
          <w:bCs/>
          <w:sz w:val="28"/>
          <w:szCs w:val="24"/>
        </w:rPr>
        <w:t>首次从免疫原性和流行病学两方面，对不同技术路线疫苗加强免疫比较，发现序贯加强免疫效果更优，支持我国序贯加强免疫策略的制定。</w:t>
      </w:r>
      <w:r>
        <w:rPr>
          <w:rFonts w:ascii="仿宋" w:eastAsia="仿宋" w:hAnsi="仿宋" w:hint="eastAsia"/>
          <w:sz w:val="28"/>
          <w:szCs w:val="24"/>
        </w:rPr>
        <w:t>通过体液免疫和细胞免疫研究，发现灭活疫苗基础免疫后，采用其他技术路线疫苗进行序贯免疫的免疫原性更好，流行病学研究进一步验证了序贯免疫的保护效果更优，支持了我国序贯加强免疫策略的制定。</w:t>
      </w:r>
    </w:p>
    <w:p w14:paraId="5C81BBB0">
      <w:pPr>
        <w:pStyle w:val="style0"/>
        <w:spacing w:lineRule="exact" w:line="360"/>
        <w:ind w:firstLine="562" w:firstLineChars="200"/>
        <w:rPr>
          <w:rFonts w:ascii="仿宋" w:eastAsia="仿宋" w:hAnsi="仿宋" w:hint="eastAsia"/>
          <w:sz w:val="28"/>
          <w:szCs w:val="24"/>
        </w:rPr>
      </w:pPr>
      <w:r>
        <w:rPr>
          <w:rFonts w:ascii="仿宋" w:eastAsia="仿宋" w:hAnsi="仿宋" w:hint="eastAsia"/>
          <w:b/>
          <w:bCs/>
          <w:sz w:val="28"/>
          <w:szCs w:val="24"/>
          <w:lang w:val="en-US" w:eastAsia="zh-CN"/>
        </w:rPr>
        <w:t>4.</w:t>
      </w:r>
      <w:r>
        <w:rPr>
          <w:rFonts w:ascii="仿宋" w:eastAsia="仿宋" w:hAnsi="仿宋" w:hint="eastAsia"/>
          <w:b/>
          <w:bCs/>
          <w:sz w:val="28"/>
          <w:szCs w:val="24"/>
        </w:rPr>
        <w:t>在国内首次制定《疫情暴发现场新冠病毒疫苗流行病学保护效果评价技术指南》，引领全国新冠疫苗保护效果评价工作。</w:t>
      </w:r>
      <w:r>
        <w:rPr>
          <w:rFonts w:ascii="仿宋" w:eastAsia="仿宋" w:hAnsi="仿宋" w:hint="eastAsia"/>
          <w:sz w:val="28"/>
          <w:szCs w:val="24"/>
        </w:rPr>
        <w:t>根据现场研究实践，对大数据链接方式、数据治理规则以及流行病学方法等归纳总结，形成技术指南，在官方网站发布，部分省份成功用于本省疫苗保护效果评价。</w:t>
      </w:r>
    </w:p>
    <w:p w14:paraId="6F2CE618">
      <w:pPr>
        <w:pStyle w:val="style0"/>
        <w:spacing w:lineRule="exact" w:line="360"/>
        <w:ind w:firstLine="560" w:firstLineChars="200"/>
        <w:rPr>
          <w:rFonts w:ascii="仿宋" w:eastAsia="仿宋" w:hAnsi="仿宋" w:hint="eastAsia"/>
          <w:b/>
          <w:sz w:val="30"/>
          <w:szCs w:val="30"/>
        </w:rPr>
      </w:pPr>
      <w:r>
        <w:rPr>
          <w:rFonts w:ascii="仿宋" w:eastAsia="仿宋" w:hAnsi="仿宋" w:hint="eastAsia"/>
          <w:sz w:val="28"/>
          <w:szCs w:val="24"/>
        </w:rPr>
        <w:t>项目组研究形成10余份技术报告报送至联防联控机制并得以采纳应用至新冠疫苗免疫策略制定；项目组在JID、EMI、BMJ Open等发表10余篇文章，被引212次，被世卫组织等引用。研究成果在国内支撑了使用疫苗抗击新冠疫情的防控政策制定，在国际上用科学数据展现了我国疫苗的有效性，使国产疫苗在其他国家得以顺利使用，助力实现“让疫苗成为全球公共产品”的中国承诺。</w:t>
      </w:r>
    </w:p>
    <w:p w14:paraId="4A608408">
      <w:pPr>
        <w:pStyle w:val="style0"/>
        <w:spacing w:lineRule="exact" w:line="360"/>
        <w:rPr>
          <w:rFonts w:ascii="仿宋" w:eastAsia="仿宋" w:hAnsi="仿宋"/>
          <w:b/>
          <w:sz w:val="30"/>
          <w:szCs w:val="30"/>
        </w:rPr>
      </w:pPr>
      <w:r>
        <w:rPr>
          <w:rFonts w:ascii="仿宋" w:eastAsia="仿宋" w:hAnsi="仿宋" w:hint="eastAsia"/>
          <w:b/>
          <w:sz w:val="30"/>
          <w:szCs w:val="30"/>
        </w:rPr>
        <w:t>六、代表性论文目录</w:t>
      </w:r>
    </w:p>
    <w:p w14:paraId="6ABF42FE">
      <w:pPr>
        <w:pStyle w:val="style0"/>
        <w:spacing w:lineRule="exact" w:line="360"/>
        <w:ind w:firstLine="480" w:firstLineChars="200"/>
        <w:rPr>
          <w:rFonts w:ascii="Times New Roman" w:cs="Times New Roman" w:eastAsia="仿宋" w:hAnsi="Times New Roman" w:hint="default"/>
          <w:sz w:val="24"/>
          <w:szCs w:val="24"/>
        </w:rPr>
      </w:pPr>
      <w:r>
        <w:rPr>
          <w:rFonts w:ascii="Times New Roman" w:cs="Times New Roman" w:eastAsia="仿宋" w:hAnsi="Times New Roman"/>
          <w:sz w:val="24"/>
          <w:szCs w:val="24"/>
        </w:rPr>
        <w:t>1. Tang, L., Wang, F. Z., Rodewald, L. E., Wang, X. Y., Liu, S. Y., Liu, Q. Q., Wang, X. Q., Wu, D., Li, M. S., Zhang, Q., Shao, Y. M., Huang, L. F., Song, Y. D., Huang, Y., Zeng, X., Liu, L. J., Yang, H., Huang, A. D., Bao, L. M., Zheng, H., … Yin, Z. D. (2023). Real-World Effectiveness of Primary Series and Booster Doses of Inactivated Coronavirus Disease 2019 Vaccine Against Omicron BA.2 Variant Infection in China: A Retrospective Cohort Study.</w:t>
      </w:r>
      <w:r>
        <w:rPr>
          <w:rFonts w:ascii="Times New Roman" w:cs="Times New Roman" w:eastAsia="仿宋" w:hAnsi="Times New Roman" w:hint="default"/>
          <w:sz w:val="24"/>
          <w:szCs w:val="24"/>
        </w:rPr>
        <w:t xml:space="preserve"> The Journal of infectious diseases, 228(3), 261–269. </w:t>
      </w:r>
      <w:r>
        <w:rPr>
          <w:rFonts w:ascii="Times New Roman" w:cs="Times New Roman" w:eastAsia="仿宋" w:hAnsi="Times New Roman" w:hint="default"/>
          <w:color w:val="auto"/>
          <w:sz w:val="24"/>
          <w:szCs w:val="24"/>
          <w:u w:val="none"/>
        </w:rPr>
        <w:t>https://doi.org/10.1093/infdis/jiad090</w:t>
      </w:r>
    </w:p>
    <w:p w14:paraId="62B6E525">
      <w:pPr>
        <w:pStyle w:val="style0"/>
        <w:spacing w:lineRule="exact" w:line="360"/>
        <w:ind w:firstLine="480" w:firstLineChars="200"/>
        <w:rPr>
          <w:rFonts w:ascii="Times New Roman" w:cs="Times New Roman" w:eastAsia="仿宋" w:hAnsi="Times New Roman"/>
          <w:sz w:val="24"/>
          <w:szCs w:val="24"/>
        </w:rPr>
      </w:pPr>
      <w:r>
        <w:rPr>
          <w:rFonts w:ascii="Times New Roman" w:cs="Times New Roman" w:eastAsia="仿宋" w:hAnsi="Times New Roman"/>
          <w:sz w:val="24"/>
          <w:szCs w:val="24"/>
        </w:rPr>
        <w:t xml:space="preserve">2. </w:t>
      </w:r>
      <w:r>
        <w:rPr>
          <w:rFonts w:ascii="Times New Roman" w:cs="Times New Roman" w:eastAsia="仿宋" w:hAnsi="Times New Roman" w:hint="eastAsia"/>
          <w:sz w:val="24"/>
          <w:szCs w:val="24"/>
        </w:rPr>
        <w:t>Wang, F. Z., Zhang, C. H., Tang, L., Rodewald, L. E., Wang, W., Liu, S. Y., Wang, W. J., Wu, D., Liu, Q. Q., Wang, X. Q., Huang, L. F., Huang, A. D., Bao, L. M., Zhang, Z. B., &amp; Yin, Z. D. (2024). An Observational Prospective Cohort Study of Vaccine Effectiveness Against Severe Acute Respiratory Syndrome Coronavirus 2 Infection of an Aerosolized, Inhaled Adenovirus Type 5-Vectored Coronavirus Disease 2019 Vaccine Given as a Second Booster Dose in Guangzhou City, China. The Journal of infectious diseases, 229(1), 117–121. https://doi.org/10.1093/infdis/jiad338</w:t>
      </w:r>
    </w:p>
    <w:p w14:paraId="057336B8">
      <w:pPr>
        <w:pStyle w:val="style0"/>
        <w:spacing w:lineRule="exact" w:line="360"/>
        <w:ind w:firstLine="480" w:firstLineChars="200"/>
        <w:rPr>
          <w:rFonts w:ascii="Times New Roman" w:cs="Times New Roman" w:eastAsia="仿宋" w:hAnsi="Times New Roman" w:hint="eastAsia"/>
          <w:sz w:val="24"/>
          <w:szCs w:val="24"/>
        </w:rPr>
      </w:pPr>
      <w:r>
        <w:rPr>
          <w:rFonts w:ascii="Times New Roman" w:cs="Times New Roman" w:eastAsia="仿宋" w:hAnsi="Times New Roman"/>
          <w:sz w:val="24"/>
          <w:szCs w:val="24"/>
        </w:rPr>
        <w:t xml:space="preserve">3. </w:t>
      </w:r>
      <w:r>
        <w:rPr>
          <w:rFonts w:ascii="Times New Roman" w:cs="Times New Roman" w:eastAsia="仿宋" w:hAnsi="Times New Roman" w:hint="eastAsia"/>
          <w:sz w:val="24"/>
          <w:szCs w:val="24"/>
        </w:rPr>
        <w:t xml:space="preserve">Wu, D., Ye, Y., Tang, L., Wang, A. B., Zhang, R., Qian, Z. H., Wang, F. Z., Zheng, H., Huang, C., Lv, X. Y., Wang, H. F., Zhang, Y. Y., Pan, J. J., Li, Y. F., Lu, M. X., Wang, C. S., Ma, Y. T., An, Z. J., Rodewald, L. E., Yin, Z. D., … Shao, Y. M. (2022). A case-case study on the effect of primary and booster immunization with China-produced COVID-19 vaccines on prevention of pneumonia and viral load among vaccinated persons infected by Delta and Omicron variants. Emerging microbes &amp; infections, 11(1), 1950–1958. </w:t>
      </w:r>
      <w:r>
        <w:rPr>
          <w:rFonts w:ascii="Times New Roman" w:cs="Times New Roman" w:eastAsia="仿宋" w:hAnsi="Times New Roman" w:hint="eastAsia"/>
          <w:color w:val="auto"/>
          <w:sz w:val="24"/>
          <w:szCs w:val="24"/>
          <w:u w:val="none"/>
        </w:rPr>
        <w:t>https://doi.org/10.1080/22221751.2022.2103455</w:t>
      </w:r>
    </w:p>
    <w:p w14:paraId="1E574487">
      <w:pPr>
        <w:pStyle w:val="style0"/>
        <w:spacing w:lineRule="exact" w:line="360"/>
        <w:ind w:firstLine="480" w:firstLineChars="200"/>
        <w:rPr>
          <w:rFonts w:ascii="Times New Roman" w:cs="Times New Roman" w:eastAsia="仿宋" w:hAnsi="Times New Roman" w:hint="eastAsia"/>
          <w:sz w:val="24"/>
          <w:szCs w:val="24"/>
        </w:rPr>
      </w:pPr>
      <w:r>
        <w:rPr>
          <w:rFonts w:ascii="Times New Roman" w:cs="Times New Roman" w:eastAsia="仿宋" w:hAnsi="Times New Roman"/>
          <w:sz w:val="24"/>
          <w:szCs w:val="24"/>
        </w:rPr>
        <w:t xml:space="preserve">4. </w:t>
      </w:r>
      <w:r>
        <w:rPr>
          <w:rFonts w:ascii="Times New Roman" w:cs="Times New Roman" w:eastAsia="仿宋" w:hAnsi="Times New Roman" w:hint="eastAsia"/>
          <w:sz w:val="24"/>
          <w:szCs w:val="24"/>
        </w:rPr>
        <w:t xml:space="preserve">Wang, Z., Zhao, Z., Cui, T., Huang, M., Liu, S., Su, X., Li, G., Song, T., Li, W., Zhong, N., Xu, M., Yang, X., &amp; Huang, W. (2022). Heterologous boosting with third dose of coronavirus disease recombinant subunit vaccine increases neutralizing antibodies and T cell immunity against different severe acute respiratory syndrome coronavirus 2 variants. Emerging microbes &amp; infections, 11(1), 829–840. </w:t>
      </w:r>
      <w:r>
        <w:rPr>
          <w:rFonts w:ascii="Times New Roman" w:cs="Times New Roman" w:eastAsia="仿宋" w:hAnsi="Times New Roman" w:hint="eastAsia"/>
          <w:color w:val="auto"/>
          <w:sz w:val="24"/>
          <w:szCs w:val="24"/>
          <w:u w:val="none"/>
        </w:rPr>
        <w:t>https://doi.org/10.1080/22221751.2022.2048969</w:t>
      </w:r>
    </w:p>
    <w:p w14:paraId="6E348091">
      <w:pPr>
        <w:pStyle w:val="style0"/>
        <w:spacing w:lineRule="exact" w:line="360"/>
        <w:ind w:firstLine="480" w:firstLineChars="200"/>
        <w:rPr>
          <w:rFonts w:ascii="Times New Roman" w:cs="Times New Roman" w:eastAsia="仿宋" w:hAnsi="Times New Roman" w:hint="eastAsia"/>
          <w:sz w:val="24"/>
          <w:szCs w:val="24"/>
        </w:rPr>
      </w:pPr>
      <w:r>
        <w:rPr>
          <w:rFonts w:ascii="Times New Roman" w:cs="Times New Roman" w:eastAsia="仿宋" w:hAnsi="Times New Roman"/>
          <w:sz w:val="24"/>
          <w:szCs w:val="24"/>
        </w:rPr>
        <w:t xml:space="preserve">5. </w:t>
      </w:r>
      <w:r>
        <w:rPr>
          <w:rFonts w:ascii="Times New Roman" w:cs="Times New Roman" w:eastAsia="仿宋" w:hAnsi="Times New Roman" w:hint="eastAsia"/>
          <w:sz w:val="24"/>
          <w:szCs w:val="24"/>
        </w:rPr>
        <w:t xml:space="preserve">Zhong, J., Liu, S., Cui, T., Li, J., Zhu, F., Zhong, N., Huang, W., Zhao, Z., &amp; Wang, Z. (2022). Heterologous booster with inhaled adenovirus vector COVID-19 vaccine generated more neutralizing antibodies against different SARS-CoV-2 variants. Emerging microbes &amp; infections, 11(1), 2689–2697. </w:t>
      </w:r>
      <w:r>
        <w:rPr>
          <w:rFonts w:ascii="Times New Roman" w:cs="Times New Roman" w:eastAsia="仿宋" w:hAnsi="Times New Roman" w:hint="eastAsia"/>
          <w:color w:val="auto"/>
          <w:sz w:val="24"/>
          <w:szCs w:val="24"/>
          <w:u w:val="none"/>
        </w:rPr>
        <w:t>https://doi.org/10.1080/22221751.2022.2132881</w:t>
      </w:r>
    </w:p>
    <w:p w14:paraId="3981FEE6">
      <w:pPr>
        <w:pStyle w:val="style0"/>
        <w:spacing w:lineRule="exact" w:line="360"/>
        <w:ind w:firstLine="480" w:firstLineChars="200"/>
        <w:rPr>
          <w:rFonts w:ascii="Times New Roman" w:cs="Times New Roman" w:eastAsia="仿宋" w:hAnsi="Times New Roman" w:hint="eastAsia"/>
          <w:sz w:val="24"/>
          <w:szCs w:val="24"/>
        </w:rPr>
      </w:pPr>
      <w:r>
        <w:rPr>
          <w:rFonts w:ascii="Times New Roman" w:cs="Times New Roman" w:eastAsia="仿宋" w:hAnsi="Times New Roman"/>
          <w:sz w:val="24"/>
          <w:szCs w:val="24"/>
        </w:rPr>
        <w:t xml:space="preserve">6. </w:t>
      </w:r>
      <w:r>
        <w:rPr>
          <w:rFonts w:ascii="Times New Roman" w:cs="Times New Roman" w:eastAsia="仿宋" w:hAnsi="Times New Roman" w:hint="eastAsia"/>
          <w:sz w:val="24"/>
          <w:szCs w:val="24"/>
        </w:rPr>
        <w:t xml:space="preserve">Tang, L., Zhang, Y., Wang, F., Wu, D., Qian, Z. H., Zhang, R., Wang, A. B., Huang, C., Wang, H., Ye, Y., Lu, M., Wang, C., Ma, Y. T., Pan, J., Li, Y. F., Lv, X. Y., An, Z., Rodewald, L., Wang, X. Y., Shao, Y. M., … Yin, Z. (2022). Relative vaccine effectiveness against Delta and Omicron COVID-19 after homologous inactivated vaccine boosting: a retrospective cohort study. BMJ open, 12(11), e063919. </w:t>
      </w:r>
      <w:r>
        <w:rPr>
          <w:rFonts w:ascii="Times New Roman" w:cs="Times New Roman" w:eastAsia="仿宋" w:hAnsi="Times New Roman" w:hint="eastAsia"/>
          <w:color w:val="auto"/>
          <w:sz w:val="24"/>
          <w:szCs w:val="24"/>
          <w:u w:val="none"/>
        </w:rPr>
        <w:t>https://doi.org/10.1136/bmjopen-2022-063919</w:t>
      </w:r>
    </w:p>
    <w:p w14:paraId="5F853494">
      <w:pPr>
        <w:pStyle w:val="style0"/>
        <w:spacing w:lineRule="exact" w:line="360"/>
        <w:ind w:firstLine="480" w:firstLineChars="200"/>
        <w:rPr>
          <w:rFonts w:ascii="Times New Roman" w:cs="Times New Roman" w:eastAsia="仿宋" w:hAnsi="Times New Roman"/>
          <w:sz w:val="24"/>
          <w:szCs w:val="24"/>
        </w:rPr>
      </w:pPr>
      <w:r>
        <w:rPr>
          <w:rFonts w:ascii="Times New Roman" w:cs="Times New Roman" w:eastAsia="仿宋" w:hAnsi="Times New Roman"/>
          <w:sz w:val="24"/>
          <w:szCs w:val="24"/>
        </w:rPr>
        <w:t xml:space="preserve">7. </w:t>
      </w:r>
      <w:r>
        <w:rPr>
          <w:rFonts w:ascii="Times New Roman" w:cs="Times New Roman" w:eastAsia="仿宋" w:hAnsi="Times New Roman" w:hint="eastAsia"/>
          <w:sz w:val="24"/>
          <w:szCs w:val="24"/>
        </w:rPr>
        <w:t>Ma, C., Sun, W., Tang, T., Jia, M., Liu, Y., Wan, Y., Han, J., Rodewald, L., Li, J., Song, Y., Wang, Y., Wu, D., Wang, F., Zheng, H., Tang, L., Gao, G. F., Yin, Z., &amp; An, Z. (2022). Effectiveness of adenovirus type 5 vectored and inactivated COVID-19 vaccines against symptomatic COVID-19, COVID-19 pneumonia, and severe COVID-19 caused by the B.1.617.2 (Delta) variant: Evidence from an outbreak in Yunnan, China, 2021. Vaccine, 40(20), 2869–2874. https://doi.org/10.1016/j.vaccine.2022.03.067</w:t>
      </w:r>
    </w:p>
    <w:p w14:paraId="32F1E29C">
      <w:pPr>
        <w:pStyle w:val="style0"/>
        <w:spacing w:lineRule="exact" w:line="360"/>
        <w:ind w:firstLine="480" w:firstLineChars="200"/>
        <w:rPr>
          <w:rFonts w:ascii="Times New Roman" w:cs="Times New Roman" w:eastAsia="仿宋" w:hAnsi="Times New Roman" w:hint="eastAsia"/>
          <w:sz w:val="24"/>
          <w:szCs w:val="24"/>
          <w:lang w:val="en-US" w:eastAsia="zh-CN"/>
        </w:rPr>
      </w:pPr>
      <w:r>
        <w:rPr>
          <w:rFonts w:ascii="Times New Roman" w:cs="Times New Roman" w:eastAsia="仿宋" w:hAnsi="Times New Roman"/>
          <w:sz w:val="24"/>
          <w:szCs w:val="24"/>
        </w:rPr>
        <w:t xml:space="preserve">8. </w:t>
      </w:r>
      <w:r>
        <w:rPr>
          <w:rFonts w:ascii="Times New Roman" w:cs="Times New Roman" w:eastAsia="仿宋" w:hAnsi="Times New Roman" w:hint="eastAsia"/>
          <w:sz w:val="24"/>
          <w:szCs w:val="24"/>
        </w:rPr>
        <w:t>Wang, F., An, Z., Rodewald, L., Wu, D., Tang, L., Zheng, H., Liu, Q., Gao, G. F., &amp; Yin, Z. (2021). Guangdong's Study of the Effectiveness of China's Inactivated Vaccines Against the SARS-CoV-2 B.1.617.2 (Delta) Variant. China CDC weekly, 3(34), 728–730. https://doi.org/10.46234/ccdcw2021.179</w:t>
      </w:r>
      <w:r>
        <w:rPr>
          <w:rFonts w:ascii="Times New Roman" w:cs="Times New Roman" w:eastAsia="仿宋" w:hAnsi="Times New Roman" w:hint="eastAsia"/>
          <w:sz w:val="24"/>
          <w:szCs w:val="24"/>
          <w:lang w:val="en-US" w:eastAsia="zh-CN"/>
        </w:rPr>
        <w:t>.</w:t>
      </w:r>
    </w:p>
    <w:p w14:paraId="68BADF7E">
      <w:pPr>
        <w:pStyle w:val="style0"/>
        <w:spacing w:lineRule="exact" w:line="360"/>
        <w:ind w:firstLine="480" w:firstLineChars="200"/>
        <w:rPr>
          <w:rFonts w:ascii="Times New Roman" w:cs="Times New Roman" w:eastAsia="仿宋" w:hAnsi="Times New Roman"/>
          <w:sz w:val="24"/>
          <w:szCs w:val="24"/>
        </w:rPr>
      </w:pPr>
      <w:r>
        <w:rPr>
          <w:rFonts w:ascii="Times New Roman" w:cs="Times New Roman" w:eastAsia="仿宋" w:hAnsi="Times New Roman"/>
          <w:sz w:val="24"/>
          <w:szCs w:val="24"/>
        </w:rPr>
        <w:t>9. Wu, D., Zhang, Y., Tang, L., Wang, F., Ye, Y., Ma, C., Zheng, H., Yu, W., Cao, L., Song, Y., Reyimu, A., Zhang, X., Wang, H., Nie, Y., Lu, M., Qi, M., Li, J., Wang, R., Yang, K., Wang, C., … Yin, Z. (2022). Effectiveness of Inactivated COVID-19 Vaccines Against Symptomatic, Pneumonia, and Severe Disease Caused by the Delta Variant: Real World Study and Evidence - China, 2021.</w:t>
      </w:r>
      <w:r>
        <w:rPr>
          <w:rFonts w:ascii="Times New Roman" w:cs="Times New Roman" w:eastAsia="仿宋" w:hAnsi="Times New Roman" w:hint="default"/>
          <w:sz w:val="24"/>
          <w:szCs w:val="24"/>
        </w:rPr>
        <w:t> China CDC weekly, 4(4), 57–65. https://doi.org/10.46234/ccdcw2022.009</w:t>
      </w:r>
    </w:p>
    <w:p w14:paraId="395FDE16">
      <w:pPr>
        <w:pStyle w:val="style0"/>
        <w:spacing w:lineRule="exact" w:line="360"/>
        <w:ind w:firstLine="480" w:firstLineChars="200"/>
        <w:rPr>
          <w:rFonts w:ascii="Times New Roman" w:cs="Times New Roman" w:eastAsia="仿宋" w:hAnsi="Times New Roman"/>
          <w:sz w:val="24"/>
          <w:szCs w:val="24"/>
        </w:rPr>
      </w:pPr>
      <w:r>
        <w:rPr>
          <w:rFonts w:ascii="Times New Roman" w:cs="Times New Roman" w:eastAsia="仿宋" w:hAnsi="Times New Roman" w:hint="eastAsia"/>
          <w:sz w:val="24"/>
          <w:szCs w:val="24"/>
        </w:rPr>
        <w:t>1</w:t>
      </w:r>
      <w:r>
        <w:rPr>
          <w:rFonts w:ascii="Times New Roman" w:cs="Times New Roman" w:eastAsia="仿宋" w:hAnsi="Times New Roman"/>
          <w:sz w:val="24"/>
          <w:szCs w:val="24"/>
        </w:rPr>
        <w:t>0. Li, M., Liu, Q., Wu, D., Tang, L., Wang, X., Yan, T., An, Z., Yin, Z., Gao, G. F., Wang, F., &amp; Zheng, H. (2022). Association of COVID-19 Vaccination and Clinical Severity of Patients Infected with Delta or Omicron Variants - China, May 21, 2021-February 28, 2022.</w:t>
      </w:r>
      <w:r>
        <w:rPr>
          <w:rFonts w:ascii="Times New Roman" w:cs="Times New Roman" w:eastAsia="仿宋" w:hAnsi="Times New Roman" w:hint="default"/>
          <w:sz w:val="24"/>
          <w:szCs w:val="24"/>
        </w:rPr>
        <w:t> China CDC weekly, 4(14), 293–297. https://doi.org/10.46234/ccdcw2022.074</w:t>
      </w:r>
      <w:r>
        <w:rPr>
          <w:rFonts w:ascii="Times New Roman" w:cs="Times New Roman" w:eastAsia="仿宋" w:hAnsi="Times New Roman"/>
          <w:sz w:val="24"/>
          <w:szCs w:val="24"/>
        </w:rPr>
        <w:t>.</w:t>
      </w:r>
    </w:p>
    <w:p w14:paraId="793E5542">
      <w:pPr>
        <w:pStyle w:val="style0"/>
        <w:spacing w:lineRule="exact" w:line="360"/>
        <w:rPr>
          <w:rFonts w:ascii="仿宋" w:eastAsia="仿宋" w:hAnsi="仿宋"/>
          <w:b/>
          <w:sz w:val="30"/>
          <w:szCs w:val="30"/>
        </w:rPr>
      </w:pPr>
      <w:r>
        <w:rPr>
          <w:rFonts w:ascii="仿宋" w:eastAsia="仿宋" w:hAnsi="仿宋" w:hint="eastAsia"/>
          <w:b/>
          <w:sz w:val="30"/>
          <w:szCs w:val="30"/>
        </w:rPr>
        <w:t>七、主要知识产权和标准规范</w:t>
      </w:r>
    </w:p>
    <w:p w14:paraId="76213C4B">
      <w:pPr>
        <w:pStyle w:val="style0"/>
        <w:spacing w:lineRule="exact" w:line="360"/>
        <w:ind w:firstLine="560" w:firstLineChars="200"/>
        <w:rPr>
          <w:rFonts w:ascii="仿宋" w:eastAsia="仿宋" w:hAnsi="仿宋" w:hint="default"/>
          <w:sz w:val="28"/>
          <w:szCs w:val="24"/>
          <w:lang w:val="en-US" w:eastAsia="zh-CN"/>
        </w:rPr>
      </w:pPr>
      <w:r>
        <w:rPr>
          <w:rFonts w:ascii="仿宋" w:eastAsia="仿宋" w:hAnsi="仿宋" w:hint="eastAsia"/>
          <w:sz w:val="28"/>
          <w:szCs w:val="24"/>
          <w:lang w:val="en-US" w:eastAsia="zh-CN"/>
        </w:rPr>
        <w:t>无。</w:t>
      </w:r>
    </w:p>
    <w:sectPr>
      <w:pgSz w:w="11906" w:h="16838" w:orient="portrait"/>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4020304"/>
    <w:charset w:val="00"/>
    <w:family w:val="roman"/>
    <w:pitch w:val="variable"/>
    <w:sig w:usb0="20007A87" w:usb1="80000000" w:usb2="00000008" w:usb3="00000000" w:csb0="000001FF" w:csb1="00000000"/>
  </w:font>
  <w:font w:name="宋体">
    <w:altName w:val="宋体"/>
    <w:panose1 w:val="02010600030001010101"/>
    <w:charset w:val="86"/>
    <w:family w:val="auto"/>
    <w:pitch w:val="default"/>
    <w:sig w:usb0="00000003" w:usb1="288F0000" w:usb2="00000006" w:usb3="00000000" w:csb0="00040001" w:csb1="00000000"/>
  </w:font>
  <w:font w:name="Wingdings">
    <w:altName w:val="Wingdings"/>
    <w:panose1 w:val="05000000000000000000"/>
    <w:charset w:val="02"/>
    <w:family w:val="auto"/>
    <w:pitch w:val="default"/>
    <w:sig w:usb0="00000000" w:usb1="00000000" w:usb2="00000000" w:usb3="00000000" w:csb0="80000000" w:csb1="00000000"/>
  </w:font>
  <w:font w:name="Arial">
    <w:altName w:val="Arial"/>
    <w:panose1 w:val="020b0604020002020204"/>
    <w:charset w:val="01"/>
    <w:family w:val="swiss"/>
    <w:pitch w:val="default"/>
    <w:sig w:usb0="E0002EFF" w:usb1="C000785B" w:usb2="00000009" w:usb3="00000000" w:csb0="400001FF" w:csb1="FFFF0000"/>
  </w:font>
  <w:font w:name="黑体">
    <w:altName w:val="黑体"/>
    <w:panose1 w:val="02010609060001010101"/>
    <w:charset w:val="86"/>
    <w:family w:val="auto"/>
    <w:pitch w:val="default"/>
    <w:sig w:usb0="800002BF" w:usb1="38CF7CFA" w:usb2="00000016" w:usb3="00000000" w:csb0="00040001" w:csb1="00000000"/>
  </w:font>
  <w:font w:name="Courier New">
    <w:altName w:val="Courier New"/>
    <w:panose1 w:val="02070309020002020404"/>
    <w:charset w:val="01"/>
    <w:family w:val="modern"/>
    <w:pitch w:val="default"/>
    <w:sig w:usb0="E0002EFF" w:usb1="C0007843" w:usb2="00000009" w:usb3="00000000" w:csb0="400001FF" w:csb1="FFFF0000"/>
  </w:font>
  <w:font w:name="Symbol">
    <w:altName w:val="Symbol"/>
    <w:panose1 w:val="05050102010007020507"/>
    <w:charset w:val="02"/>
    <w:family w:val="roman"/>
    <w:pitch w:val="default"/>
    <w:sig w:usb0="00000000" w:usb1="00000000" w:usb2="00000000" w:usb3="00000000" w:csb0="80000000" w:csb1="00000000"/>
  </w:font>
  <w:font w:name="Calibri">
    <w:altName w:val="Calibri"/>
    <w:panose1 w:val="020f0502020002030204"/>
    <w:charset w:val="00"/>
    <w:family w:val="swiss"/>
    <w:pitch w:val="default"/>
    <w:sig w:usb0="E4002EFF" w:usb1="C000247B" w:usb2="00000009" w:usb3="00000000" w:csb0="200001FF" w:csb1="00000000"/>
  </w:font>
  <w:font w:name="等线">
    <w:altName w:val="等线"/>
    <w:panose1 w:val="02010600030001010101"/>
    <w:charset w:val="86"/>
    <w:family w:val="auto"/>
    <w:pitch w:val="default"/>
    <w:sig w:usb0="A00002BF" w:usb1="38CF7CFA" w:usb2="00000016" w:usb3="00000000" w:csb0="0004000F" w:csb1="00000000"/>
  </w:font>
  <w:font w:name="方正小标宋简体">
    <w:altName w:val="方正小标宋简体"/>
    <w:panose1 w:val="03000509000000000000"/>
    <w:charset w:val="86"/>
    <w:family w:val="script"/>
    <w:pitch w:val="default"/>
    <w:sig w:usb0="00000001" w:usb1="080E0000" w:usb2="00000000" w:usb3="00000000" w:csb0="00040000" w:csb1="00000000"/>
  </w:font>
  <w:font w:name="方正大标宋简体">
    <w:altName w:val="Malgun Gothic Semilight"/>
    <w:panose1 w:val="00000000000000000000"/>
    <w:charset w:val="86"/>
    <w:family w:val="auto"/>
    <w:pitch w:val="default"/>
    <w:sig w:usb0="00000000" w:usb1="00000000" w:usb2="00000012" w:usb3="00000000" w:csb0="00040001" w:csb1="00000000"/>
  </w:font>
  <w:font w:name="Malgun Gothic Semilight">
    <w:altName w:val="Malgun Gothic Semilight"/>
    <w:panose1 w:val="020b0502040002020203"/>
    <w:charset w:val="86"/>
    <w:family w:val="auto"/>
    <w:pitch w:val="default"/>
    <w:sig w:usb0="900002AF" w:usb1="01D77CFB" w:usb2="00000012" w:usb3="00000000" w:csb0="203E01BD" w:csb1="D7FF0000"/>
  </w:font>
  <w:font w:name="微软雅黑">
    <w:altName w:val="微软雅黑"/>
    <w:panose1 w:val="020b0503020002020204"/>
    <w:charset w:val="86"/>
    <w:family w:val="swiss"/>
    <w:pitch w:val="default"/>
    <w:sig w:usb0="80000287" w:usb1="2ACF3C50" w:usb2="00000016" w:usb3="00000000" w:csb0="0004001F" w:csb1="00000000"/>
  </w:font>
  <w:font w:name="仿宋">
    <w:altName w:val="仿宋"/>
    <w:panose1 w:val="020106090600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4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420"/>
  <w:drawingGridVerticalSpacing w:val="156"/>
  <w:displayHorizontalDrawingGridEvery w:val="1"/>
  <w:displayVerticalDrawingGridEvery w:val="1"/>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Times New Roman" w:cs="Times New Roman" w:eastAsia="宋体" w:hAnsi="Times New Roman"/>
      </w:rPr>
    </w:rPrDefault>
    <w:pPrDefault>
      <w:pPr/>
    </w:pPrDefault>
  </w:docDefaults>
  <w:style w:type="paragraph" w:default="1" w:styleId="style0">
    <w:name w:val="Normal"/>
    <w:next w:val="style0"/>
    <w:qFormat/>
    <w:uiPriority w:val="0"/>
    <w:pPr>
      <w:widowControl w:val="false"/>
      <w:jc w:val="both"/>
    </w:pPr>
    <w:rPr>
      <w:rFonts w:ascii="等线" w:cs="宋体" w:eastAsia="等线" w:hAnsi="等线"/>
      <w:kern w:val="2"/>
      <w:sz w:val="21"/>
      <w:szCs w:val="22"/>
      <w:lang w:val="en-US" w:bidi="ar-SA" w:eastAsia="zh-CN"/>
    </w:rPr>
  </w:style>
  <w:style w:type="character" w:default="1" w:styleId="style65">
    <w:name w:val="Default Paragraph Font"/>
    <w:next w:val="style65"/>
    <w:qFormat/>
    <w:uiPriority w:val="1"/>
  </w:style>
  <w:style w:type="table" w:default="1" w:styleId="style105">
    <w:name w:val="Normal Table"/>
    <w:next w:val="style105"/>
    <w:qFormat/>
    <w:uiPriority w:val="99"/>
    <w:pPr/>
    <w:rPr/>
    <w:tblPr>
      <w:tblCellMar>
        <w:top w:w="0" w:type="dxa"/>
        <w:left w:w="108" w:type="dxa"/>
        <w:bottom w:w="0" w:type="dxa"/>
        <w:right w:w="108" w:type="dxa"/>
      </w:tblCellMar>
    </w:tblPr>
    <w:tcPr>
      <w:tcBorders/>
    </w:tcPr>
  </w:style>
  <w:style w:type="paragraph" w:styleId="style32">
    <w:name w:val="footer"/>
    <w:basedOn w:val="style0"/>
    <w:next w:val="style32"/>
    <w:link w:val="style4098"/>
    <w:qFormat/>
    <w:uiPriority w:val="99"/>
    <w:pPr>
      <w:tabs>
        <w:tab w:val="center" w:leader="none" w:pos="4153"/>
        <w:tab w:val="right" w:leader="none" w:pos="8306"/>
      </w:tabs>
      <w:snapToGrid w:val="false"/>
      <w:jc w:val="left"/>
    </w:pPr>
    <w:rPr>
      <w:sz w:val="18"/>
      <w:szCs w:val="18"/>
    </w:rPr>
  </w:style>
  <w:style w:type="paragraph" w:styleId="style31">
    <w:name w:val="header"/>
    <w:basedOn w:val="style0"/>
    <w:next w:val="style31"/>
    <w:link w:val="style4097"/>
    <w:qFormat/>
    <w:uiPriority w:val="99"/>
    <w:pPr>
      <w:pBdr>
        <w:bottom w:val="single" w:sz="6" w:space="1" w:color="auto"/>
      </w:pBdr>
      <w:tabs>
        <w:tab w:val="center" w:leader="none" w:pos="4153"/>
        <w:tab w:val="right" w:leader="none" w:pos="8306"/>
      </w:tabs>
      <w:snapToGrid w:val="false"/>
      <w:jc w:val="center"/>
    </w:pPr>
    <w:rPr>
      <w:sz w:val="18"/>
      <w:szCs w:val="18"/>
    </w:rPr>
  </w:style>
  <w:style w:type="character" w:styleId="style85">
    <w:name w:val="Hyperlink"/>
    <w:basedOn w:val="style65"/>
    <w:next w:val="style85"/>
    <w:qFormat/>
    <w:uiPriority w:val="99"/>
    <w:rPr>
      <w:color w:val="0000ff"/>
      <w:u w:val="single"/>
    </w:rPr>
  </w:style>
  <w:style w:type="paragraph" w:styleId="style179">
    <w:name w:val="List Paragraph"/>
    <w:basedOn w:val="style0"/>
    <w:next w:val="style179"/>
    <w:qFormat/>
    <w:uiPriority w:val="34"/>
    <w:pPr>
      <w:ind w:firstLine="420" w:firstLineChars="200"/>
    </w:pPr>
    <w:rPr/>
  </w:style>
  <w:style w:type="character" w:customStyle="1" w:styleId="style4097">
    <w:name w:val="页眉 字符"/>
    <w:basedOn w:val="style65"/>
    <w:next w:val="style4097"/>
    <w:link w:val="style31"/>
    <w:qFormat/>
    <w:uiPriority w:val="99"/>
    <w:rPr>
      <w:kern w:val="2"/>
      <w:sz w:val="18"/>
      <w:szCs w:val="18"/>
    </w:rPr>
  </w:style>
  <w:style w:type="character" w:customStyle="1" w:styleId="style4098">
    <w:name w:val="页脚 字符"/>
    <w:basedOn w:val="style65"/>
    <w:next w:val="style4098"/>
    <w:link w:val="style32"/>
    <w:qFormat/>
    <w:uiPriority w:val="99"/>
    <w:rPr>
      <w:kern w:val="2"/>
      <w:sz w:val="18"/>
      <w:szCs w:val="18"/>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Words>1873</Words>
  <Pages>4</Pages>
  <Characters>4995</Characters>
  <Application>WPS Office</Application>
  <DocSecurity>0</DocSecurity>
  <Paragraphs>29</Paragraphs>
  <ScaleCrop>false</ScaleCrop>
  <LinksUpToDate>false</LinksUpToDate>
  <CharactersWithSpaces>5695</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2026-03-17T01:55:00Z</dcterms:created>
  <dc:creator>王超</dc:creator>
  <lastModifiedBy>2211133C</lastModifiedBy>
  <dcterms:modified xsi:type="dcterms:W3CDTF">2026-04-02T12:15:40Z</dcterms:modified>
  <revision>4</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eyJoZGlkIjoiZTMyMTk0ZGU3OWZjN2ViZTNmMDFjMmZlMWY3Mzg0NjgiLCJ1c2VySWQiOiIxNTg5ODMyOTgwIn0=</vt:lpwstr>
  </property>
  <property fmtid="{D5CDD505-2E9C-101B-9397-08002B2CF9AE}" pid="3" name="KSOProductBuildVer">
    <vt:lpwstr>2052-12.1.0.25225</vt:lpwstr>
  </property>
  <property fmtid="{D5CDD505-2E9C-101B-9397-08002B2CF9AE}" pid="4" name="ICV">
    <vt:lpwstr>8f2b14634f124b5986a790788da8c2dc_23</vt:lpwstr>
  </property>
</Properties>
</file>